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B5C6" w14:textId="77777777" w:rsidR="004270D9" w:rsidRPr="00A97844" w:rsidRDefault="004270D9" w:rsidP="004270D9">
      <w:pPr>
        <w:spacing w:after="0" w:line="360" w:lineRule="auto"/>
      </w:pPr>
      <w:r w:rsidRPr="00A97844">
        <w:rPr>
          <w:rFonts w:ascii="Arial" w:eastAsia="Arial" w:hAnsi="Arial" w:cs="Arial"/>
          <w:b/>
        </w:rPr>
        <w:t>Hamburg: Vermietung einer Gastronomiefläche</w:t>
      </w:r>
    </w:p>
    <w:p w14:paraId="6E3961E4" w14:textId="77777777" w:rsidR="004270D9" w:rsidRPr="000378E3" w:rsidRDefault="004270D9" w:rsidP="004270D9">
      <w:pPr>
        <w:spacing w:after="0" w:line="360" w:lineRule="auto"/>
        <w:rPr>
          <w:sz w:val="28"/>
          <w:szCs w:val="28"/>
        </w:rPr>
      </w:pPr>
      <w:r w:rsidRPr="000378E3">
        <w:rPr>
          <w:rFonts w:ascii="Arial" w:eastAsia="Arial" w:hAnsi="Arial" w:cs="Arial"/>
          <w:b/>
          <w:bCs/>
          <w:sz w:val="28"/>
          <w:szCs w:val="28"/>
        </w:rPr>
        <w:t xml:space="preserve">Burger-Restaurant </w:t>
      </w:r>
      <w:proofErr w:type="spellStart"/>
      <w:r w:rsidRPr="000378E3">
        <w:rPr>
          <w:rFonts w:ascii="Arial" w:eastAsia="Arial" w:hAnsi="Arial" w:cs="Arial"/>
          <w:b/>
          <w:bCs/>
          <w:sz w:val="28"/>
          <w:szCs w:val="28"/>
        </w:rPr>
        <w:t>Five</w:t>
      </w:r>
      <w:proofErr w:type="spellEnd"/>
      <w:r w:rsidRPr="000378E3">
        <w:rPr>
          <w:rFonts w:ascii="Arial" w:eastAsia="Arial" w:hAnsi="Arial" w:cs="Arial"/>
          <w:b/>
          <w:bCs/>
          <w:sz w:val="28"/>
          <w:szCs w:val="28"/>
        </w:rPr>
        <w:t xml:space="preserve"> Guys kommt an den Jungfernstieg</w:t>
      </w:r>
    </w:p>
    <w:p w14:paraId="2A6D566D" w14:textId="77777777" w:rsidR="004270D9" w:rsidRPr="000378E3" w:rsidRDefault="004270D9" w:rsidP="004270D9">
      <w:pPr>
        <w:spacing w:after="0" w:line="360" w:lineRule="auto"/>
        <w:jc w:val="both"/>
        <w:rPr>
          <w:sz w:val="20"/>
          <w:szCs w:val="20"/>
        </w:rPr>
      </w:pPr>
    </w:p>
    <w:p w14:paraId="2CE3021E" w14:textId="009A382A" w:rsidR="004270D9" w:rsidRDefault="00010A04" w:rsidP="004270D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Hamburg, 4</w:t>
      </w:r>
      <w:r w:rsidR="004270D9" w:rsidRPr="000378E3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043517">
        <w:rPr>
          <w:rFonts w:ascii="Arial" w:eastAsia="Arial" w:hAnsi="Arial" w:cs="Arial"/>
          <w:b/>
          <w:bCs/>
          <w:sz w:val="20"/>
          <w:szCs w:val="20"/>
        </w:rPr>
        <w:t>Februar</w:t>
      </w:r>
      <w:r w:rsidR="004270D9" w:rsidRPr="000378E3">
        <w:rPr>
          <w:rFonts w:ascii="Arial" w:eastAsia="Arial" w:hAnsi="Arial" w:cs="Arial"/>
          <w:b/>
          <w:bCs/>
          <w:sz w:val="20"/>
          <w:szCs w:val="20"/>
        </w:rPr>
        <w:t xml:space="preserve"> 2022 –</w:t>
      </w:r>
      <w:r w:rsidR="004270D9" w:rsidRPr="000378E3">
        <w:rPr>
          <w:rFonts w:ascii="Arial" w:eastAsia="Arial" w:hAnsi="Arial" w:cs="Arial"/>
          <w:sz w:val="20"/>
          <w:szCs w:val="20"/>
        </w:rPr>
        <w:t xml:space="preserve"> Grossmann &amp; Berger ist es gelungen, die rund 1.170 m² große ehemalige </w:t>
      </w:r>
      <w:proofErr w:type="spellStart"/>
      <w:r w:rsidR="004270D9" w:rsidRPr="000378E3">
        <w:rPr>
          <w:rFonts w:ascii="Arial" w:eastAsia="Arial" w:hAnsi="Arial" w:cs="Arial"/>
          <w:sz w:val="20"/>
          <w:szCs w:val="20"/>
        </w:rPr>
        <w:t>Schuhkay</w:t>
      </w:r>
      <w:proofErr w:type="spellEnd"/>
      <w:r w:rsidR="004270D9" w:rsidRPr="000378E3">
        <w:rPr>
          <w:rFonts w:ascii="Arial" w:eastAsia="Arial" w:hAnsi="Arial" w:cs="Arial"/>
          <w:sz w:val="20"/>
          <w:szCs w:val="20"/>
        </w:rPr>
        <w:t xml:space="preserve">-Filiale am Jungfernstieg 41-42 direkt im Anschluss an das Mietvertragsende weiterzuvermitteln: An einer der bekanntesten Shoppingmeilen Deutschlands wird die amerikanische </w:t>
      </w:r>
      <w:proofErr w:type="spellStart"/>
      <w:r w:rsidR="004270D9" w:rsidRPr="000378E3">
        <w:rPr>
          <w:rFonts w:ascii="Arial" w:eastAsia="Arial" w:hAnsi="Arial" w:cs="Arial"/>
          <w:sz w:val="20"/>
          <w:szCs w:val="20"/>
        </w:rPr>
        <w:t>Burgerkette</w:t>
      </w:r>
      <w:proofErr w:type="spellEnd"/>
      <w:r w:rsidR="004270D9" w:rsidRPr="000378E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70D9" w:rsidRPr="000378E3">
        <w:rPr>
          <w:rFonts w:ascii="Arial" w:eastAsia="Arial" w:hAnsi="Arial" w:cs="Arial"/>
          <w:sz w:val="20"/>
          <w:szCs w:val="20"/>
        </w:rPr>
        <w:t>Five</w:t>
      </w:r>
      <w:proofErr w:type="spellEnd"/>
      <w:r w:rsidR="004270D9" w:rsidRPr="000378E3">
        <w:rPr>
          <w:rFonts w:ascii="Arial" w:eastAsia="Arial" w:hAnsi="Arial" w:cs="Arial"/>
          <w:sz w:val="20"/>
          <w:szCs w:val="20"/>
        </w:rPr>
        <w:t xml:space="preserve"> Guys im Frühjahr ihr zweites Restaurant in Hamburg eröffnen. GPP-Mitglied Grossmann &amp; Berger beriet dabei den Eigentümer, die </w:t>
      </w:r>
      <w:r w:rsidR="004270D9" w:rsidRPr="00380A8C">
        <w:rPr>
          <w:rFonts w:ascii="Arial" w:eastAsia="Arial" w:hAnsi="Arial" w:cs="Arial"/>
          <w:sz w:val="20"/>
          <w:szCs w:val="20"/>
        </w:rPr>
        <w:t>Unterstützungskasse der Wüstenrot-Unternehmen e. V.</w:t>
      </w:r>
      <w:r w:rsidR="004270D9" w:rsidRPr="000378E3">
        <w:rPr>
          <w:rFonts w:ascii="Arial" w:eastAsia="Arial" w:hAnsi="Arial" w:cs="Arial"/>
          <w:sz w:val="20"/>
          <w:szCs w:val="20"/>
        </w:rPr>
        <w:t>, und begleitete die Umwidmung der früheren Einzelhandels- in eine Gastronomiefläche. Das zukünftige Restaurant verfügt nicht nur über eine gebäudebreite Fensterfront, sondern ist im Passagenviertel zwischen Gänsemarkt und Binnenalster auch in einer der prominentesten Lauflagen von Hamburg angesiedelt.</w:t>
      </w:r>
    </w:p>
    <w:p w14:paraId="54A4D7B7" w14:textId="02F4AF47" w:rsidR="004270D9" w:rsidRDefault="004270D9" w:rsidP="004270D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FF4D908" w14:textId="198C6BE4" w:rsidR="00380A8C" w:rsidRPr="003C0978" w:rsidRDefault="003C0978" w:rsidP="004270D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 w:rsidRPr="003C0978">
        <w:rPr>
          <w:rFonts w:ascii="Arial" w:eastAsia="Arial" w:hAnsi="Arial" w:cs="Arial"/>
          <w:b/>
          <w:sz w:val="20"/>
          <w:szCs w:val="20"/>
        </w:rPr>
        <w:t>Flagship</w:t>
      </w:r>
      <w:proofErr w:type="spellEnd"/>
      <w:r w:rsidRPr="003C0978">
        <w:rPr>
          <w:rFonts w:ascii="Arial" w:eastAsia="Arial" w:hAnsi="Arial" w:cs="Arial"/>
          <w:b/>
          <w:sz w:val="20"/>
          <w:szCs w:val="20"/>
        </w:rPr>
        <w:t>-Store mit Rundum-Glasküche</w:t>
      </w:r>
    </w:p>
    <w:p w14:paraId="3F994AF8" w14:textId="26C2CE38" w:rsidR="004270D9" w:rsidRPr="000378E3" w:rsidRDefault="004270D9" w:rsidP="004270D9">
      <w:pPr>
        <w:spacing w:after="0" w:line="360" w:lineRule="auto"/>
        <w:rPr>
          <w:sz w:val="20"/>
          <w:szCs w:val="20"/>
        </w:rPr>
      </w:pPr>
      <w:r w:rsidRPr="003C0978">
        <w:rPr>
          <w:rFonts w:ascii="Arial" w:eastAsia="Arial" w:hAnsi="Arial" w:cs="Arial"/>
          <w:i/>
          <w:sz w:val="20"/>
          <w:szCs w:val="20"/>
        </w:rPr>
        <w:t>„Wir freuen uns sehr, nach unserem Store an der Reeperbahn, nun unser zweites Hamburger Restaurant in bester Lage direkt am Jungfernstieg zu eröffnen“,</w:t>
      </w:r>
      <w:r>
        <w:rPr>
          <w:rFonts w:ascii="Arial" w:eastAsia="Arial" w:hAnsi="Arial" w:cs="Arial"/>
          <w:sz w:val="20"/>
          <w:szCs w:val="20"/>
        </w:rPr>
        <w:t xml:space="preserve"> so </w:t>
      </w:r>
      <w:r w:rsidRPr="006E5BDE">
        <w:rPr>
          <w:rFonts w:ascii="Arial" w:eastAsia="Arial" w:hAnsi="Arial" w:cs="Arial"/>
          <w:b/>
          <w:sz w:val="20"/>
          <w:szCs w:val="20"/>
        </w:rPr>
        <w:t xml:space="preserve">Jörg </w:t>
      </w:r>
      <w:proofErr w:type="spellStart"/>
      <w:r w:rsidRPr="006E5BDE">
        <w:rPr>
          <w:rFonts w:ascii="Arial" w:eastAsia="Arial" w:hAnsi="Arial" w:cs="Arial"/>
          <w:b/>
          <w:sz w:val="20"/>
          <w:szCs w:val="20"/>
        </w:rPr>
        <w:t>Gilcher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Head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Germany bei </w:t>
      </w:r>
      <w:proofErr w:type="spellStart"/>
      <w:r>
        <w:rPr>
          <w:rFonts w:ascii="Arial" w:eastAsia="Arial" w:hAnsi="Arial" w:cs="Arial"/>
          <w:sz w:val="20"/>
          <w:szCs w:val="20"/>
        </w:rPr>
        <w:t>Five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Guys. </w:t>
      </w:r>
      <w:r w:rsidRPr="003C0978">
        <w:rPr>
          <w:rFonts w:ascii="Arial" w:eastAsia="Arial" w:hAnsi="Arial" w:cs="Arial"/>
          <w:i/>
          <w:sz w:val="20"/>
          <w:szCs w:val="20"/>
        </w:rPr>
        <w:t xml:space="preserve">„Auf der attraktiven Fläche wird unser zweiter </w:t>
      </w:r>
      <w:proofErr w:type="spellStart"/>
      <w:r w:rsidRPr="003C0978">
        <w:rPr>
          <w:rFonts w:ascii="Arial" w:eastAsia="Arial" w:hAnsi="Arial" w:cs="Arial"/>
          <w:i/>
          <w:sz w:val="20"/>
          <w:szCs w:val="20"/>
        </w:rPr>
        <w:t>Flagship</w:t>
      </w:r>
      <w:proofErr w:type="spellEnd"/>
      <w:r w:rsidRPr="003C0978">
        <w:rPr>
          <w:rFonts w:ascii="Arial" w:eastAsia="Arial" w:hAnsi="Arial" w:cs="Arial"/>
          <w:i/>
          <w:sz w:val="20"/>
          <w:szCs w:val="20"/>
        </w:rPr>
        <w:t>-Store Deutschlands zu finden sein, in d</w:t>
      </w:r>
      <w:r w:rsidR="00A972A0" w:rsidRPr="003C0978">
        <w:rPr>
          <w:rFonts w:ascii="Arial" w:eastAsia="Arial" w:hAnsi="Arial" w:cs="Arial"/>
          <w:i/>
          <w:sz w:val="20"/>
          <w:szCs w:val="20"/>
        </w:rPr>
        <w:t>em wir unseren Gästen dank der R</w:t>
      </w:r>
      <w:r w:rsidRPr="003C0978">
        <w:rPr>
          <w:rFonts w:ascii="Arial" w:eastAsia="Arial" w:hAnsi="Arial" w:cs="Arial"/>
          <w:i/>
          <w:sz w:val="20"/>
          <w:szCs w:val="20"/>
        </w:rPr>
        <w:t>undum-Glasküche ein ganz besonderes Besuchserlebnis ermöglichen können.“</w:t>
      </w:r>
    </w:p>
    <w:p w14:paraId="76DDEED9" w14:textId="77777777" w:rsidR="004270D9" w:rsidRPr="000378E3" w:rsidRDefault="004270D9" w:rsidP="004270D9">
      <w:pPr>
        <w:spacing w:after="0" w:line="360" w:lineRule="auto"/>
        <w:rPr>
          <w:sz w:val="20"/>
          <w:szCs w:val="20"/>
        </w:rPr>
      </w:pPr>
    </w:p>
    <w:p w14:paraId="37568517" w14:textId="311FBF95" w:rsidR="00C5479C" w:rsidRPr="00C5479C" w:rsidRDefault="00C5479C" w:rsidP="004270D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5479C">
        <w:rPr>
          <w:rFonts w:ascii="Arial" w:eastAsia="Arial" w:hAnsi="Arial" w:cs="Arial"/>
          <w:b/>
          <w:sz w:val="20"/>
          <w:szCs w:val="20"/>
        </w:rPr>
        <w:t>Brüder als Namensgeber</w:t>
      </w:r>
    </w:p>
    <w:p w14:paraId="3B20E41B" w14:textId="799DD738" w:rsidR="004270D9" w:rsidRPr="00647FE0" w:rsidRDefault="004270D9" w:rsidP="004270D9">
      <w:pPr>
        <w:spacing w:after="0" w:line="360" w:lineRule="auto"/>
        <w:rPr>
          <w:sz w:val="20"/>
          <w:szCs w:val="20"/>
        </w:rPr>
      </w:pPr>
      <w:proofErr w:type="spellStart"/>
      <w:r w:rsidRPr="000378E3">
        <w:rPr>
          <w:rFonts w:ascii="Arial" w:eastAsia="Arial" w:hAnsi="Arial" w:cs="Arial"/>
          <w:sz w:val="20"/>
          <w:szCs w:val="20"/>
        </w:rPr>
        <w:t>Five</w:t>
      </w:r>
      <w:proofErr w:type="spellEnd"/>
      <w:r w:rsidRPr="000378E3">
        <w:rPr>
          <w:rFonts w:ascii="Arial" w:eastAsia="Arial" w:hAnsi="Arial" w:cs="Arial"/>
          <w:sz w:val="20"/>
          <w:szCs w:val="20"/>
        </w:rPr>
        <w:t xml:space="preserve"> Guys bietet Burger und </w:t>
      </w:r>
      <w:r>
        <w:rPr>
          <w:rFonts w:ascii="Arial" w:eastAsia="Arial" w:hAnsi="Arial" w:cs="Arial"/>
          <w:sz w:val="20"/>
          <w:szCs w:val="20"/>
        </w:rPr>
        <w:t>Fries</w:t>
      </w:r>
      <w:r w:rsidRPr="000378E3">
        <w:rPr>
          <w:rFonts w:ascii="Arial" w:eastAsia="Arial" w:hAnsi="Arial" w:cs="Arial"/>
          <w:sz w:val="20"/>
          <w:szCs w:val="20"/>
        </w:rPr>
        <w:t xml:space="preserve"> an und betreibt in Deutschland über </w:t>
      </w:r>
      <w:r>
        <w:rPr>
          <w:rFonts w:ascii="Arial" w:eastAsia="Arial" w:hAnsi="Arial" w:cs="Arial"/>
          <w:sz w:val="20"/>
          <w:szCs w:val="20"/>
        </w:rPr>
        <w:t>3</w:t>
      </w:r>
      <w:r w:rsidRPr="000378E3">
        <w:rPr>
          <w:rFonts w:ascii="Arial" w:eastAsia="Arial" w:hAnsi="Arial" w:cs="Arial"/>
          <w:sz w:val="20"/>
          <w:szCs w:val="20"/>
        </w:rPr>
        <w:t xml:space="preserve">0 Restaurants. </w:t>
      </w:r>
      <w:r w:rsidRPr="00647FE0">
        <w:rPr>
          <w:rFonts w:ascii="Arial" w:eastAsia="Arial" w:hAnsi="Arial" w:cs="Arial"/>
          <w:sz w:val="20"/>
          <w:szCs w:val="20"/>
        </w:rPr>
        <w:t xml:space="preserve">Der erste Hamburger Standort befindet sich am </w:t>
      </w:r>
      <w:proofErr w:type="spellStart"/>
      <w:r w:rsidRPr="00647FE0">
        <w:rPr>
          <w:rFonts w:ascii="Arial" w:eastAsia="Arial" w:hAnsi="Arial" w:cs="Arial"/>
          <w:sz w:val="20"/>
          <w:szCs w:val="20"/>
        </w:rPr>
        <w:t>Millerntorplatz</w:t>
      </w:r>
      <w:proofErr w:type="spellEnd"/>
      <w:r w:rsidRPr="00647FE0">
        <w:rPr>
          <w:rFonts w:ascii="Arial" w:eastAsia="Arial" w:hAnsi="Arial" w:cs="Arial"/>
          <w:sz w:val="20"/>
          <w:szCs w:val="20"/>
        </w:rPr>
        <w:t xml:space="preserve"> 1. 1986 gründete die Familie </w:t>
      </w:r>
      <w:proofErr w:type="spellStart"/>
      <w:r w:rsidRPr="00647FE0">
        <w:rPr>
          <w:rFonts w:ascii="Arial" w:eastAsia="Arial" w:hAnsi="Arial" w:cs="Arial"/>
          <w:sz w:val="20"/>
          <w:szCs w:val="20"/>
        </w:rPr>
        <w:t>Murrell</w:t>
      </w:r>
      <w:proofErr w:type="spellEnd"/>
      <w:r w:rsidRPr="00647FE0">
        <w:rPr>
          <w:rFonts w:ascii="Arial" w:eastAsia="Arial" w:hAnsi="Arial" w:cs="Arial"/>
          <w:sz w:val="20"/>
          <w:szCs w:val="20"/>
        </w:rPr>
        <w:t xml:space="preserve"> das mittlerweile in 14 Ländern präsente Unternehmen in Arlington, Virginia. Der Name geht auf die Anzahl der fünf Brüder der Familie zurück.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7DBC196" w14:textId="77777777" w:rsidR="004270D9" w:rsidRPr="00647FE0" w:rsidRDefault="004270D9" w:rsidP="004270D9">
      <w:pPr>
        <w:spacing w:after="0" w:line="360" w:lineRule="auto"/>
        <w:rPr>
          <w:sz w:val="20"/>
          <w:szCs w:val="20"/>
        </w:rPr>
      </w:pPr>
    </w:p>
    <w:tbl>
      <w:tblPr>
        <w:tblW w:w="98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6095"/>
      </w:tblGrid>
      <w:tr w:rsidR="004270D9" w14:paraId="7FECC155" w14:textId="77777777" w:rsidTr="00380A8C">
        <w:trPr>
          <w:trHeight w:val="223"/>
        </w:trPr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9E9945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Nutzungsart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6AB6A0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Gastronomiefläche</w:t>
            </w:r>
          </w:p>
        </w:tc>
      </w:tr>
      <w:tr w:rsidR="004270D9" w14:paraId="18F779B4" w14:textId="77777777" w:rsidTr="00380A8C">
        <w:trPr>
          <w:trHeight w:val="223"/>
        </w:trPr>
        <w:tc>
          <w:tcPr>
            <w:tcW w:w="3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C1D656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Stadt, Stadtteil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486FD7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Hamburg, Neustadt</w:t>
            </w:r>
          </w:p>
        </w:tc>
      </w:tr>
      <w:tr w:rsidR="004270D9" w14:paraId="36E80C7E" w14:textId="77777777" w:rsidTr="00380A8C">
        <w:trPr>
          <w:trHeight w:val="223"/>
        </w:trPr>
        <w:tc>
          <w:tcPr>
            <w:tcW w:w="3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04A5C3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Straße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580C98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Jungfernstieg 41-42</w:t>
            </w:r>
          </w:p>
        </w:tc>
      </w:tr>
      <w:tr w:rsidR="00380A8C" w:rsidRPr="00380A8C" w14:paraId="0374D88F" w14:textId="77777777" w:rsidTr="00380A8C">
        <w:trPr>
          <w:trHeight w:val="223"/>
        </w:trPr>
        <w:tc>
          <w:tcPr>
            <w:tcW w:w="3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341F8D" w14:textId="77777777" w:rsidR="004270D9" w:rsidRPr="00380A8C" w:rsidRDefault="004270D9" w:rsidP="003E5908">
            <w:pPr>
              <w:spacing w:after="100"/>
              <w:rPr>
                <w:sz w:val="20"/>
                <w:szCs w:val="20"/>
              </w:rPr>
            </w:pPr>
            <w:r w:rsidRPr="00380A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AB6600" w14:textId="20C63891" w:rsidR="004270D9" w:rsidRPr="00380A8C" w:rsidRDefault="00A972A0" w:rsidP="003E5908">
            <w:pPr>
              <w:spacing w:after="100"/>
              <w:rPr>
                <w:sz w:val="20"/>
                <w:szCs w:val="20"/>
              </w:rPr>
            </w:pPr>
            <w:r w:rsidRPr="00380A8C">
              <w:rPr>
                <w:rFonts w:ascii="Arial" w:eastAsia="Arial" w:hAnsi="Arial" w:cs="Arial"/>
                <w:sz w:val="20"/>
                <w:szCs w:val="20"/>
              </w:rPr>
              <w:t>Unterstützungskasse der Wüstenrot-Unternehmen e. V.</w:t>
            </w:r>
          </w:p>
        </w:tc>
      </w:tr>
      <w:tr w:rsidR="004270D9" w14:paraId="45FAD16F" w14:textId="77777777" w:rsidTr="00380A8C">
        <w:trPr>
          <w:trHeight w:val="223"/>
        </w:trPr>
        <w:tc>
          <w:tcPr>
            <w:tcW w:w="3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48F29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14EDFD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Guys Germany GmbH</w:t>
            </w:r>
          </w:p>
        </w:tc>
      </w:tr>
      <w:tr w:rsidR="004270D9" w14:paraId="30C63CBC" w14:textId="77777777" w:rsidTr="00380A8C">
        <w:trPr>
          <w:trHeight w:val="223"/>
        </w:trPr>
        <w:tc>
          <w:tcPr>
            <w:tcW w:w="3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4176F3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Vermittler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7D2A22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Grossmann &amp; Berger GmbH</w:t>
            </w:r>
          </w:p>
        </w:tc>
      </w:tr>
      <w:tr w:rsidR="004270D9" w14:paraId="6B313FAC" w14:textId="77777777" w:rsidTr="00380A8C">
        <w:trPr>
          <w:trHeight w:val="223"/>
        </w:trPr>
        <w:tc>
          <w:tcPr>
            <w:tcW w:w="3719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4BEBB" w14:textId="77777777" w:rsidR="004270D9" w:rsidRDefault="004270D9" w:rsidP="003E5908">
            <w:pP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Gastronomiefläche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E5DBE1" w14:textId="77777777" w:rsidR="004270D9" w:rsidRDefault="004270D9" w:rsidP="003E5908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ca. 1.170 m²</w:t>
            </w:r>
          </w:p>
        </w:tc>
      </w:tr>
    </w:tbl>
    <w:p w14:paraId="7DA9A668" w14:textId="6A9881F7" w:rsidR="004270D9" w:rsidRDefault="004270D9" w:rsidP="004270D9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899"/>
      </w:tblGrid>
      <w:tr w:rsidR="00380A8C" w14:paraId="0534A3B8" w14:textId="77777777" w:rsidTr="00380A8C">
        <w:trPr>
          <w:trHeight w:val="223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CDC0" w14:textId="2D3253A6" w:rsidR="00380A8C" w:rsidRDefault="00380A8C" w:rsidP="00EF6B57">
            <w:pPr>
              <w:spacing w:after="100"/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7EBFC86A" wp14:editId="737AB782">
                  <wp:extent cx="2917623" cy="19474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DSC32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670" cy="196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28B3" w14:textId="77777777" w:rsidR="00380A8C" w:rsidRDefault="00380A8C" w:rsidP="00EF6B57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43B82EDF" w14:textId="2AFB3046" w:rsidR="00380A8C" w:rsidRDefault="00BC098F" w:rsidP="00EF6B57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Das zweite Restaurant von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Five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Guys in Hamburg eröffnet </w:t>
            </w:r>
            <w:r w:rsidR="00FF06CF">
              <w:rPr>
                <w:rFonts w:ascii="Arial" w:hAnsi="Arial"/>
                <w:sz w:val="20"/>
                <w:szCs w:val="20"/>
              </w:rPr>
              <w:t>2021</w:t>
            </w:r>
            <w:r>
              <w:rPr>
                <w:rFonts w:ascii="Arial" w:hAnsi="Arial"/>
                <w:sz w:val="20"/>
                <w:szCs w:val="20"/>
              </w:rPr>
              <w:t xml:space="preserve"> am Jungfernstieg 41-42.</w:t>
            </w:r>
            <w:r w:rsidR="00FF06CF">
              <w:rPr>
                <w:rFonts w:ascii="Arial" w:hAnsi="Arial"/>
                <w:sz w:val="20"/>
                <w:szCs w:val="20"/>
              </w:rPr>
              <w:t xml:space="preserve"> Den Standort fand </w:t>
            </w:r>
            <w:r w:rsidR="00AF4FA6">
              <w:rPr>
                <w:rFonts w:ascii="Arial" w:hAnsi="Arial"/>
                <w:sz w:val="20"/>
                <w:szCs w:val="20"/>
              </w:rPr>
              <w:t>das Unternehmen</w:t>
            </w:r>
            <w:bookmarkStart w:id="0" w:name="_GoBack"/>
            <w:bookmarkEnd w:id="0"/>
            <w:r w:rsidR="00FF06CF">
              <w:rPr>
                <w:rFonts w:ascii="Arial" w:hAnsi="Arial"/>
                <w:sz w:val="20"/>
                <w:szCs w:val="20"/>
              </w:rPr>
              <w:t xml:space="preserve"> mit der Hilfe von Grossmann &amp; Berger.</w:t>
            </w:r>
          </w:p>
          <w:p w14:paraId="0BEB04AB" w14:textId="77777777" w:rsidR="00380A8C" w:rsidRDefault="00380A8C" w:rsidP="00EF6B57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521EDDED" w14:textId="471ACAFA" w:rsidR="00380A8C" w:rsidRDefault="00380A8C" w:rsidP="00380A8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Bildquelle: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Five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Guys</w:t>
            </w:r>
            <w:r w:rsidR="003B0159">
              <w:rPr>
                <w:rFonts w:ascii="Arial" w:hAnsi="Arial"/>
                <w:sz w:val="20"/>
                <w:szCs w:val="20"/>
              </w:rPr>
              <w:t xml:space="preserve"> Germany GmbH</w:t>
            </w:r>
          </w:p>
        </w:tc>
      </w:tr>
    </w:tbl>
    <w:p w14:paraId="265E23B4" w14:textId="77777777" w:rsidR="00FF06CF" w:rsidRDefault="00FF06CF" w:rsidP="00FF06CF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2C5B3C01" w14:textId="1F01E295" w:rsidR="00A21FBA" w:rsidRPr="004270D9" w:rsidRDefault="004270D9" w:rsidP="004270D9">
      <w:pPr>
        <w:spacing w:line="360" w:lineRule="auto"/>
      </w:pPr>
      <w:r w:rsidRPr="00647FE0">
        <w:rPr>
          <w:rFonts w:ascii="Arial" w:eastAsia="Arial" w:hAnsi="Arial" w:cs="Arial"/>
          <w:sz w:val="16"/>
          <w:szCs w:val="16"/>
        </w:rPr>
        <w:t xml:space="preserve">Die </w:t>
      </w:r>
      <w:hyperlink r:id="rId9" w:history="1">
        <w:r w:rsidRPr="00647FE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Datenschutzrichtlinie</w:t>
        </w:r>
      </w:hyperlink>
      <w:r w:rsidRPr="00647FE0">
        <w:rPr>
          <w:rFonts w:ascii="Arial" w:eastAsia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647FE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Pressemappe</w:t>
        </w:r>
      </w:hyperlink>
      <w:r w:rsidRPr="00647FE0">
        <w:rPr>
          <w:rFonts w:ascii="Arial" w:eastAsia="Arial" w:hAnsi="Arial" w:cs="Arial"/>
          <w:sz w:val="16"/>
          <w:szCs w:val="16"/>
        </w:rPr>
        <w:t xml:space="preserve"> sowie die dazugehörigen </w:t>
      </w:r>
      <w:hyperlink r:id="rId11" w:history="1">
        <w:r w:rsidRPr="00647FE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Nutzungsbedingungen</w:t>
        </w:r>
      </w:hyperlink>
      <w:r w:rsidRPr="00647FE0">
        <w:rPr>
          <w:rFonts w:ascii="Arial" w:eastAsia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647FE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presse@grossmann-berger.de</w:t>
        </w:r>
      </w:hyperlink>
      <w:r w:rsidRPr="00647FE0">
        <w:rPr>
          <w:rFonts w:ascii="Arial" w:eastAsia="Arial" w:hAnsi="Arial" w:cs="Arial"/>
          <w:sz w:val="16"/>
          <w:szCs w:val="16"/>
        </w:rPr>
        <w:t xml:space="preserve"> mit dem Betreff "Abmeldung aus Presseverteiler".</w:t>
      </w:r>
    </w:p>
    <w:sectPr w:rsidR="00A21FBA" w:rsidRPr="004270D9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F121" w14:textId="77777777" w:rsidR="006261DF" w:rsidRDefault="006261DF">
      <w:r>
        <w:separator/>
      </w:r>
    </w:p>
  </w:endnote>
  <w:endnote w:type="continuationSeparator" w:id="0">
    <w:p w14:paraId="18BB8EE1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6E0D" w14:textId="260E36D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21FBA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21FBA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089CA32C" w14:textId="005C5E3B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F4FA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F4FA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64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9A4A1AE" wp14:editId="3BDB7AD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B04E" w14:textId="77777777" w:rsidR="006261DF" w:rsidRDefault="006261DF">
      <w:r>
        <w:separator/>
      </w:r>
    </w:p>
  </w:footnote>
  <w:footnote w:type="continuationSeparator" w:id="0">
    <w:p w14:paraId="0622EF79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C5CD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17366" wp14:editId="0A69CEB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511492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297F" w14:textId="69DB7951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7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667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173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4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" filled="f" stroked="f">
              <v:textbox style="mso-fit-shape-to-text:t">
                <w:txbxContent>
                  <w:p w14:paraId="6E04297F" w14:textId="69DB7951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673C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6673C0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64A5085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4FBF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2B6A" wp14:editId="254C429F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40D50" w14:textId="5C454C4B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2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42140D50" w14:textId="5C454C4B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3006439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01B52"/>
    <w:multiLevelType w:val="hybridMultilevel"/>
    <w:tmpl w:val="46848EB2"/>
    <w:lvl w:ilvl="0" w:tplc="511023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5C79"/>
    <w:rsid w:val="00010A04"/>
    <w:rsid w:val="000159FE"/>
    <w:rsid w:val="00021E4F"/>
    <w:rsid w:val="00022F16"/>
    <w:rsid w:val="00023D78"/>
    <w:rsid w:val="0003075C"/>
    <w:rsid w:val="00034308"/>
    <w:rsid w:val="00036023"/>
    <w:rsid w:val="00036727"/>
    <w:rsid w:val="00043517"/>
    <w:rsid w:val="000504A2"/>
    <w:rsid w:val="00060743"/>
    <w:rsid w:val="00063A33"/>
    <w:rsid w:val="00064BB2"/>
    <w:rsid w:val="00066796"/>
    <w:rsid w:val="0007295C"/>
    <w:rsid w:val="00076346"/>
    <w:rsid w:val="000766D7"/>
    <w:rsid w:val="000919C0"/>
    <w:rsid w:val="00092176"/>
    <w:rsid w:val="000B3315"/>
    <w:rsid w:val="000C770D"/>
    <w:rsid w:val="000E03F3"/>
    <w:rsid w:val="000E3556"/>
    <w:rsid w:val="000E6186"/>
    <w:rsid w:val="000F23FF"/>
    <w:rsid w:val="001029C4"/>
    <w:rsid w:val="0011486D"/>
    <w:rsid w:val="00121E33"/>
    <w:rsid w:val="00122007"/>
    <w:rsid w:val="001324D6"/>
    <w:rsid w:val="001326E8"/>
    <w:rsid w:val="00135BD2"/>
    <w:rsid w:val="00141865"/>
    <w:rsid w:val="00142BED"/>
    <w:rsid w:val="00145F7A"/>
    <w:rsid w:val="00154825"/>
    <w:rsid w:val="001655B6"/>
    <w:rsid w:val="001712B1"/>
    <w:rsid w:val="0017516B"/>
    <w:rsid w:val="00175247"/>
    <w:rsid w:val="00176F1D"/>
    <w:rsid w:val="00193C44"/>
    <w:rsid w:val="001960CD"/>
    <w:rsid w:val="001A2ABE"/>
    <w:rsid w:val="001A3363"/>
    <w:rsid w:val="001A360C"/>
    <w:rsid w:val="001B2082"/>
    <w:rsid w:val="001B2CE8"/>
    <w:rsid w:val="001C6CE0"/>
    <w:rsid w:val="001C6ED8"/>
    <w:rsid w:val="001D0CEE"/>
    <w:rsid w:val="001D14DA"/>
    <w:rsid w:val="001D6834"/>
    <w:rsid w:val="001D7BCC"/>
    <w:rsid w:val="001E38BD"/>
    <w:rsid w:val="001E6995"/>
    <w:rsid w:val="001F1513"/>
    <w:rsid w:val="001F734B"/>
    <w:rsid w:val="00205769"/>
    <w:rsid w:val="00212FEC"/>
    <w:rsid w:val="002131BB"/>
    <w:rsid w:val="00225080"/>
    <w:rsid w:val="00227E31"/>
    <w:rsid w:val="00230F81"/>
    <w:rsid w:val="00247B3A"/>
    <w:rsid w:val="00254C6F"/>
    <w:rsid w:val="00264218"/>
    <w:rsid w:val="00281E80"/>
    <w:rsid w:val="002834B0"/>
    <w:rsid w:val="00283671"/>
    <w:rsid w:val="00284E27"/>
    <w:rsid w:val="0029352F"/>
    <w:rsid w:val="002A1973"/>
    <w:rsid w:val="002B72CA"/>
    <w:rsid w:val="002C2392"/>
    <w:rsid w:val="002C2503"/>
    <w:rsid w:val="002C6328"/>
    <w:rsid w:val="002D1C5C"/>
    <w:rsid w:val="002D42D9"/>
    <w:rsid w:val="002E5547"/>
    <w:rsid w:val="002E6860"/>
    <w:rsid w:val="002F0411"/>
    <w:rsid w:val="002F570B"/>
    <w:rsid w:val="00300D45"/>
    <w:rsid w:val="00304CC6"/>
    <w:rsid w:val="00325E2A"/>
    <w:rsid w:val="0033176A"/>
    <w:rsid w:val="0034671D"/>
    <w:rsid w:val="0034786C"/>
    <w:rsid w:val="003517C9"/>
    <w:rsid w:val="00363DD5"/>
    <w:rsid w:val="00370000"/>
    <w:rsid w:val="00373507"/>
    <w:rsid w:val="00374B8F"/>
    <w:rsid w:val="00376512"/>
    <w:rsid w:val="00380A8C"/>
    <w:rsid w:val="0038230E"/>
    <w:rsid w:val="00382529"/>
    <w:rsid w:val="00390D98"/>
    <w:rsid w:val="00392EE2"/>
    <w:rsid w:val="003B0159"/>
    <w:rsid w:val="003B488A"/>
    <w:rsid w:val="003B79EF"/>
    <w:rsid w:val="003C0978"/>
    <w:rsid w:val="003C26AA"/>
    <w:rsid w:val="003C378B"/>
    <w:rsid w:val="003C7386"/>
    <w:rsid w:val="003E099F"/>
    <w:rsid w:val="003E3539"/>
    <w:rsid w:val="003F710F"/>
    <w:rsid w:val="003F7992"/>
    <w:rsid w:val="0040086D"/>
    <w:rsid w:val="004017D8"/>
    <w:rsid w:val="00411E03"/>
    <w:rsid w:val="004123B1"/>
    <w:rsid w:val="0042308B"/>
    <w:rsid w:val="00426173"/>
    <w:rsid w:val="004270D9"/>
    <w:rsid w:val="004303A1"/>
    <w:rsid w:val="004400A9"/>
    <w:rsid w:val="00440DC9"/>
    <w:rsid w:val="004506D2"/>
    <w:rsid w:val="0045090A"/>
    <w:rsid w:val="00452E99"/>
    <w:rsid w:val="00456F40"/>
    <w:rsid w:val="004609BD"/>
    <w:rsid w:val="004661EE"/>
    <w:rsid w:val="00466741"/>
    <w:rsid w:val="004700A9"/>
    <w:rsid w:val="004726CF"/>
    <w:rsid w:val="00474896"/>
    <w:rsid w:val="004841AF"/>
    <w:rsid w:val="0048638E"/>
    <w:rsid w:val="0049091B"/>
    <w:rsid w:val="004A2BEA"/>
    <w:rsid w:val="004A3C64"/>
    <w:rsid w:val="004A5AEA"/>
    <w:rsid w:val="004B2FDA"/>
    <w:rsid w:val="004B480A"/>
    <w:rsid w:val="004B5E0E"/>
    <w:rsid w:val="004C7951"/>
    <w:rsid w:val="004C7B03"/>
    <w:rsid w:val="004D0F54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1F12"/>
    <w:rsid w:val="005428C5"/>
    <w:rsid w:val="00543C55"/>
    <w:rsid w:val="00546E00"/>
    <w:rsid w:val="0055136C"/>
    <w:rsid w:val="00552E1B"/>
    <w:rsid w:val="005554C7"/>
    <w:rsid w:val="00560EC8"/>
    <w:rsid w:val="00573F48"/>
    <w:rsid w:val="00582B99"/>
    <w:rsid w:val="005914DC"/>
    <w:rsid w:val="00595137"/>
    <w:rsid w:val="0059534D"/>
    <w:rsid w:val="00596D67"/>
    <w:rsid w:val="005A340C"/>
    <w:rsid w:val="005A6990"/>
    <w:rsid w:val="005A6C21"/>
    <w:rsid w:val="005B0FC9"/>
    <w:rsid w:val="005B66D3"/>
    <w:rsid w:val="005C4556"/>
    <w:rsid w:val="005C5302"/>
    <w:rsid w:val="005D6AC5"/>
    <w:rsid w:val="005D7CD1"/>
    <w:rsid w:val="005E362E"/>
    <w:rsid w:val="005E7640"/>
    <w:rsid w:val="005F3488"/>
    <w:rsid w:val="0061109D"/>
    <w:rsid w:val="00612AA0"/>
    <w:rsid w:val="006138CB"/>
    <w:rsid w:val="0062200C"/>
    <w:rsid w:val="006224C4"/>
    <w:rsid w:val="006225EA"/>
    <w:rsid w:val="00625D9C"/>
    <w:rsid w:val="006261DF"/>
    <w:rsid w:val="00635A5B"/>
    <w:rsid w:val="00642074"/>
    <w:rsid w:val="00656873"/>
    <w:rsid w:val="006635D4"/>
    <w:rsid w:val="006673C0"/>
    <w:rsid w:val="006944A9"/>
    <w:rsid w:val="00694DAF"/>
    <w:rsid w:val="00695E58"/>
    <w:rsid w:val="006A1329"/>
    <w:rsid w:val="006B53AE"/>
    <w:rsid w:val="006E0F35"/>
    <w:rsid w:val="006E2AFA"/>
    <w:rsid w:val="006E5BDE"/>
    <w:rsid w:val="007146D1"/>
    <w:rsid w:val="0071554C"/>
    <w:rsid w:val="00716944"/>
    <w:rsid w:val="00720DFF"/>
    <w:rsid w:val="00722C77"/>
    <w:rsid w:val="007250C1"/>
    <w:rsid w:val="00726096"/>
    <w:rsid w:val="00727E24"/>
    <w:rsid w:val="0073470B"/>
    <w:rsid w:val="0073588C"/>
    <w:rsid w:val="00735D2F"/>
    <w:rsid w:val="00750171"/>
    <w:rsid w:val="0075190E"/>
    <w:rsid w:val="00753537"/>
    <w:rsid w:val="00756588"/>
    <w:rsid w:val="00762CC5"/>
    <w:rsid w:val="00776D4E"/>
    <w:rsid w:val="00784917"/>
    <w:rsid w:val="00785F55"/>
    <w:rsid w:val="007906B4"/>
    <w:rsid w:val="007A258C"/>
    <w:rsid w:val="007A3C14"/>
    <w:rsid w:val="007A4C9B"/>
    <w:rsid w:val="007A4FCA"/>
    <w:rsid w:val="007A5013"/>
    <w:rsid w:val="007B1064"/>
    <w:rsid w:val="007C1A24"/>
    <w:rsid w:val="007E1049"/>
    <w:rsid w:val="007E5E5C"/>
    <w:rsid w:val="007E759D"/>
    <w:rsid w:val="007F00A2"/>
    <w:rsid w:val="00801FC7"/>
    <w:rsid w:val="008114E4"/>
    <w:rsid w:val="00812471"/>
    <w:rsid w:val="00813BFA"/>
    <w:rsid w:val="00821C69"/>
    <w:rsid w:val="0082552E"/>
    <w:rsid w:val="008261A5"/>
    <w:rsid w:val="0083382E"/>
    <w:rsid w:val="008339C0"/>
    <w:rsid w:val="008436C9"/>
    <w:rsid w:val="00855325"/>
    <w:rsid w:val="00862E34"/>
    <w:rsid w:val="008643A4"/>
    <w:rsid w:val="008650DF"/>
    <w:rsid w:val="00865915"/>
    <w:rsid w:val="00871832"/>
    <w:rsid w:val="00872BE8"/>
    <w:rsid w:val="00880E09"/>
    <w:rsid w:val="00886CCE"/>
    <w:rsid w:val="00896B33"/>
    <w:rsid w:val="008A1327"/>
    <w:rsid w:val="008A62FB"/>
    <w:rsid w:val="008A77B7"/>
    <w:rsid w:val="008B0F67"/>
    <w:rsid w:val="008B4399"/>
    <w:rsid w:val="008C4F83"/>
    <w:rsid w:val="008C608D"/>
    <w:rsid w:val="008D3AFC"/>
    <w:rsid w:val="008E1592"/>
    <w:rsid w:val="008E461D"/>
    <w:rsid w:val="008F08E5"/>
    <w:rsid w:val="008F5213"/>
    <w:rsid w:val="008F7436"/>
    <w:rsid w:val="00920210"/>
    <w:rsid w:val="00920C9C"/>
    <w:rsid w:val="00922754"/>
    <w:rsid w:val="00925781"/>
    <w:rsid w:val="009258D0"/>
    <w:rsid w:val="00932896"/>
    <w:rsid w:val="00935AB3"/>
    <w:rsid w:val="009410DB"/>
    <w:rsid w:val="00941C0F"/>
    <w:rsid w:val="00952D22"/>
    <w:rsid w:val="00956071"/>
    <w:rsid w:val="00960951"/>
    <w:rsid w:val="00970660"/>
    <w:rsid w:val="00970AA9"/>
    <w:rsid w:val="009734CE"/>
    <w:rsid w:val="009853A9"/>
    <w:rsid w:val="00996E1A"/>
    <w:rsid w:val="009A1D03"/>
    <w:rsid w:val="009A1F14"/>
    <w:rsid w:val="009C18F5"/>
    <w:rsid w:val="009D24DA"/>
    <w:rsid w:val="009D5D75"/>
    <w:rsid w:val="009E2DFE"/>
    <w:rsid w:val="009F3097"/>
    <w:rsid w:val="009F32A2"/>
    <w:rsid w:val="009F44B5"/>
    <w:rsid w:val="009F54CE"/>
    <w:rsid w:val="00A06264"/>
    <w:rsid w:val="00A1639A"/>
    <w:rsid w:val="00A215C9"/>
    <w:rsid w:val="00A21FBA"/>
    <w:rsid w:val="00A5364B"/>
    <w:rsid w:val="00A615E0"/>
    <w:rsid w:val="00A6183A"/>
    <w:rsid w:val="00A65C8D"/>
    <w:rsid w:val="00A65E2B"/>
    <w:rsid w:val="00A74AA0"/>
    <w:rsid w:val="00A77100"/>
    <w:rsid w:val="00A914AF"/>
    <w:rsid w:val="00A914B1"/>
    <w:rsid w:val="00A972A0"/>
    <w:rsid w:val="00AB3590"/>
    <w:rsid w:val="00AC2A00"/>
    <w:rsid w:val="00AC6CBF"/>
    <w:rsid w:val="00AD17B7"/>
    <w:rsid w:val="00AD5AE8"/>
    <w:rsid w:val="00AF4FA6"/>
    <w:rsid w:val="00B077D5"/>
    <w:rsid w:val="00B200E4"/>
    <w:rsid w:val="00B2039C"/>
    <w:rsid w:val="00B205F0"/>
    <w:rsid w:val="00B316D1"/>
    <w:rsid w:val="00B33ECF"/>
    <w:rsid w:val="00B35B6D"/>
    <w:rsid w:val="00B35DC6"/>
    <w:rsid w:val="00B36BAC"/>
    <w:rsid w:val="00B45101"/>
    <w:rsid w:val="00B51699"/>
    <w:rsid w:val="00B53FAF"/>
    <w:rsid w:val="00B62319"/>
    <w:rsid w:val="00B623D5"/>
    <w:rsid w:val="00B63153"/>
    <w:rsid w:val="00B6527D"/>
    <w:rsid w:val="00B73B3A"/>
    <w:rsid w:val="00B74507"/>
    <w:rsid w:val="00B75718"/>
    <w:rsid w:val="00B75E7E"/>
    <w:rsid w:val="00B76A93"/>
    <w:rsid w:val="00B87F2C"/>
    <w:rsid w:val="00B937A0"/>
    <w:rsid w:val="00B93817"/>
    <w:rsid w:val="00B93E8D"/>
    <w:rsid w:val="00B94240"/>
    <w:rsid w:val="00BA0B96"/>
    <w:rsid w:val="00BB15DA"/>
    <w:rsid w:val="00BB340D"/>
    <w:rsid w:val="00BC098F"/>
    <w:rsid w:val="00BC2A3A"/>
    <w:rsid w:val="00BC64EC"/>
    <w:rsid w:val="00BD073D"/>
    <w:rsid w:val="00BD0C06"/>
    <w:rsid w:val="00BD4183"/>
    <w:rsid w:val="00BD68A6"/>
    <w:rsid w:val="00BE047C"/>
    <w:rsid w:val="00BE0902"/>
    <w:rsid w:val="00BF3AFD"/>
    <w:rsid w:val="00BF3E49"/>
    <w:rsid w:val="00C06D02"/>
    <w:rsid w:val="00C105F4"/>
    <w:rsid w:val="00C14661"/>
    <w:rsid w:val="00C1606C"/>
    <w:rsid w:val="00C20989"/>
    <w:rsid w:val="00C23180"/>
    <w:rsid w:val="00C24482"/>
    <w:rsid w:val="00C24A91"/>
    <w:rsid w:val="00C2662A"/>
    <w:rsid w:val="00C27286"/>
    <w:rsid w:val="00C30FF1"/>
    <w:rsid w:val="00C32FA3"/>
    <w:rsid w:val="00C37D8B"/>
    <w:rsid w:val="00C41492"/>
    <w:rsid w:val="00C5479C"/>
    <w:rsid w:val="00C702B5"/>
    <w:rsid w:val="00C70389"/>
    <w:rsid w:val="00C7240B"/>
    <w:rsid w:val="00C904B6"/>
    <w:rsid w:val="00C96DF4"/>
    <w:rsid w:val="00C96E0B"/>
    <w:rsid w:val="00CA67AE"/>
    <w:rsid w:val="00CB1DD2"/>
    <w:rsid w:val="00CB5D3C"/>
    <w:rsid w:val="00CB6877"/>
    <w:rsid w:val="00CC1337"/>
    <w:rsid w:val="00CC2A8A"/>
    <w:rsid w:val="00CC35A5"/>
    <w:rsid w:val="00CC48DF"/>
    <w:rsid w:val="00CD16D3"/>
    <w:rsid w:val="00CD2F26"/>
    <w:rsid w:val="00CD4F6B"/>
    <w:rsid w:val="00CD70E7"/>
    <w:rsid w:val="00CD7363"/>
    <w:rsid w:val="00CE0C1F"/>
    <w:rsid w:val="00CE455F"/>
    <w:rsid w:val="00CF0BF9"/>
    <w:rsid w:val="00CF5957"/>
    <w:rsid w:val="00CF5BB8"/>
    <w:rsid w:val="00D0390E"/>
    <w:rsid w:val="00D04BA2"/>
    <w:rsid w:val="00D077B0"/>
    <w:rsid w:val="00D124B1"/>
    <w:rsid w:val="00D22D42"/>
    <w:rsid w:val="00D306A3"/>
    <w:rsid w:val="00D34638"/>
    <w:rsid w:val="00D36D8D"/>
    <w:rsid w:val="00D37A65"/>
    <w:rsid w:val="00D45711"/>
    <w:rsid w:val="00D500FC"/>
    <w:rsid w:val="00D51597"/>
    <w:rsid w:val="00D5326E"/>
    <w:rsid w:val="00D55867"/>
    <w:rsid w:val="00D56F2A"/>
    <w:rsid w:val="00D60DC4"/>
    <w:rsid w:val="00D61FA6"/>
    <w:rsid w:val="00D634A3"/>
    <w:rsid w:val="00D64A1D"/>
    <w:rsid w:val="00D66910"/>
    <w:rsid w:val="00D72339"/>
    <w:rsid w:val="00D73E47"/>
    <w:rsid w:val="00D74ABB"/>
    <w:rsid w:val="00D809B7"/>
    <w:rsid w:val="00D8382B"/>
    <w:rsid w:val="00D83CB7"/>
    <w:rsid w:val="00D84B78"/>
    <w:rsid w:val="00D86C51"/>
    <w:rsid w:val="00D94A9F"/>
    <w:rsid w:val="00D97FA8"/>
    <w:rsid w:val="00DA5C74"/>
    <w:rsid w:val="00DC7B25"/>
    <w:rsid w:val="00DD384D"/>
    <w:rsid w:val="00DD43E8"/>
    <w:rsid w:val="00DD6B73"/>
    <w:rsid w:val="00DD7EE5"/>
    <w:rsid w:val="00DF6E20"/>
    <w:rsid w:val="00E112C9"/>
    <w:rsid w:val="00E1217B"/>
    <w:rsid w:val="00E158F7"/>
    <w:rsid w:val="00E2087E"/>
    <w:rsid w:val="00E23CBD"/>
    <w:rsid w:val="00E26C5E"/>
    <w:rsid w:val="00E34786"/>
    <w:rsid w:val="00E36818"/>
    <w:rsid w:val="00E4060A"/>
    <w:rsid w:val="00E47B97"/>
    <w:rsid w:val="00E5548A"/>
    <w:rsid w:val="00E60837"/>
    <w:rsid w:val="00E634CC"/>
    <w:rsid w:val="00E63A72"/>
    <w:rsid w:val="00E66E68"/>
    <w:rsid w:val="00E82F0E"/>
    <w:rsid w:val="00E96FAC"/>
    <w:rsid w:val="00E97D70"/>
    <w:rsid w:val="00EA129F"/>
    <w:rsid w:val="00EB03DC"/>
    <w:rsid w:val="00EC2F2E"/>
    <w:rsid w:val="00ED0582"/>
    <w:rsid w:val="00EE31F6"/>
    <w:rsid w:val="00EE36DC"/>
    <w:rsid w:val="00F00F56"/>
    <w:rsid w:val="00F044EE"/>
    <w:rsid w:val="00F10717"/>
    <w:rsid w:val="00F20559"/>
    <w:rsid w:val="00F3320B"/>
    <w:rsid w:val="00F3405E"/>
    <w:rsid w:val="00F40E92"/>
    <w:rsid w:val="00F41947"/>
    <w:rsid w:val="00F435AA"/>
    <w:rsid w:val="00F601C9"/>
    <w:rsid w:val="00F60987"/>
    <w:rsid w:val="00F63636"/>
    <w:rsid w:val="00F64A95"/>
    <w:rsid w:val="00F73B8E"/>
    <w:rsid w:val="00F76C6A"/>
    <w:rsid w:val="00F83BF1"/>
    <w:rsid w:val="00F90CB9"/>
    <w:rsid w:val="00FA0A39"/>
    <w:rsid w:val="00FA4AC0"/>
    <w:rsid w:val="00FB064F"/>
    <w:rsid w:val="00FB144F"/>
    <w:rsid w:val="00FB159A"/>
    <w:rsid w:val="00FB4D77"/>
    <w:rsid w:val="00FB7C51"/>
    <w:rsid w:val="00FC497D"/>
    <w:rsid w:val="00FC6898"/>
    <w:rsid w:val="00FD076B"/>
    <w:rsid w:val="00FF06CF"/>
    <w:rsid w:val="00FF2655"/>
    <w:rsid w:val="00FF3782"/>
    <w:rsid w:val="00FF487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4:docId w14:val="4A37A124"/>
  <w15:docId w15:val="{F78ED472-F53C-476A-A9C5-7488931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7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95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9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1_Dealmeldungen\DEALmeldungen%20Einzelhandel\2020\03_Kernenergie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de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8B31-742E-42B0-A8D1-619AE183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15</cp:revision>
  <cp:lastPrinted>2017-12-15T09:20:00Z</cp:lastPrinted>
  <dcterms:created xsi:type="dcterms:W3CDTF">2022-01-19T13:26:00Z</dcterms:created>
  <dcterms:modified xsi:type="dcterms:W3CDTF">2022-02-03T11:49:00Z</dcterms:modified>
</cp:coreProperties>
</file>