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9" w:rsidRPr="006E6828" w:rsidRDefault="004827CF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Hamburg</w:t>
      </w:r>
      <w:r w:rsidR="00552E1B" w:rsidRPr="006E6828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Bürovermietung</w:t>
      </w:r>
    </w:p>
    <w:p w:rsidR="00880E09" w:rsidRPr="004827CF" w:rsidRDefault="00C10524" w:rsidP="004827C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Sneaker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aus dem 3D-Drucker künftig am ehemaligen Rotring-Standort</w:t>
      </w:r>
    </w:p>
    <w:p w:rsidR="00063A33" w:rsidRPr="006E6828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511DA" w:rsidRDefault="001C6ED9" w:rsidP="004827C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EB7822">
        <w:rPr>
          <w:rFonts w:ascii="Arial" w:hAnsi="Arial" w:cs="Arial"/>
          <w:b/>
          <w:sz w:val="20"/>
          <w:szCs w:val="20"/>
        </w:rPr>
        <w:t>1</w:t>
      </w:r>
      <w:r w:rsidR="00063A33" w:rsidRPr="006E6828">
        <w:rPr>
          <w:rFonts w:ascii="Arial" w:hAnsi="Arial" w:cs="Arial"/>
          <w:b/>
          <w:sz w:val="20"/>
          <w:szCs w:val="20"/>
        </w:rPr>
        <w:t xml:space="preserve">. </w:t>
      </w:r>
      <w:r w:rsidR="00EB7822">
        <w:rPr>
          <w:rFonts w:ascii="Arial" w:hAnsi="Arial" w:cs="Arial"/>
          <w:b/>
          <w:sz w:val="20"/>
          <w:szCs w:val="20"/>
        </w:rPr>
        <w:t>Dezember</w:t>
      </w:r>
      <w:r w:rsidR="006E6828">
        <w:rPr>
          <w:rFonts w:ascii="Arial" w:hAnsi="Arial" w:cs="Arial"/>
          <w:b/>
          <w:sz w:val="20"/>
          <w:szCs w:val="20"/>
        </w:rPr>
        <w:t xml:space="preserve"> 2021</w:t>
      </w:r>
      <w:r w:rsidR="00063A33" w:rsidRPr="006E6828">
        <w:rPr>
          <w:rFonts w:ascii="Arial" w:hAnsi="Arial" w:cs="Arial"/>
          <w:b/>
          <w:sz w:val="20"/>
          <w:szCs w:val="20"/>
        </w:rPr>
        <w:t xml:space="preserve"> –</w:t>
      </w:r>
      <w:r w:rsidR="00C10524">
        <w:rPr>
          <w:rFonts w:ascii="Arial" w:hAnsi="Arial" w:cs="Arial"/>
          <w:b/>
          <w:sz w:val="20"/>
          <w:szCs w:val="20"/>
        </w:rPr>
        <w:t xml:space="preserve"> </w:t>
      </w:r>
      <w:r w:rsidR="009C0952">
        <w:rPr>
          <w:rFonts w:ascii="Arial" w:hAnsi="Arial" w:cs="Arial"/>
          <w:sz w:val="20"/>
          <w:szCs w:val="20"/>
        </w:rPr>
        <w:t xml:space="preserve">Das 2020 gegründete New Yorker Start-up Zellerfeld R&amp;D </w:t>
      </w:r>
      <w:r w:rsidR="00C10524">
        <w:rPr>
          <w:rFonts w:ascii="Arial" w:hAnsi="Arial" w:cs="Arial"/>
          <w:sz w:val="20"/>
          <w:szCs w:val="20"/>
        </w:rPr>
        <w:t xml:space="preserve">unterhält in Hamburg einen Produktionsstandort für den Druck von 3D-Sneakern. Da die bisherigen Flächen in der Stahltwiete nicht mehr ausreichen, verlegt das Unternehmen seinen Standort </w:t>
      </w:r>
      <w:r w:rsidR="000511DA">
        <w:rPr>
          <w:rFonts w:ascii="Arial" w:hAnsi="Arial" w:cs="Arial"/>
          <w:sz w:val="20"/>
          <w:szCs w:val="20"/>
        </w:rPr>
        <w:t xml:space="preserve">innerhalb von Bahrenfeld </w:t>
      </w:r>
      <w:r w:rsidR="00C10524">
        <w:rPr>
          <w:rFonts w:ascii="Arial" w:hAnsi="Arial" w:cs="Arial"/>
          <w:sz w:val="20"/>
          <w:szCs w:val="20"/>
        </w:rPr>
        <w:t xml:space="preserve">in die </w:t>
      </w:r>
      <w:proofErr w:type="spellStart"/>
      <w:r w:rsidR="00C10524">
        <w:rPr>
          <w:rFonts w:ascii="Arial" w:hAnsi="Arial" w:cs="Arial"/>
          <w:sz w:val="20"/>
          <w:szCs w:val="20"/>
        </w:rPr>
        <w:t>Schnackenburgallee</w:t>
      </w:r>
      <w:proofErr w:type="spellEnd"/>
      <w:r w:rsidR="00C10524">
        <w:rPr>
          <w:rFonts w:ascii="Arial" w:hAnsi="Arial" w:cs="Arial"/>
          <w:sz w:val="20"/>
          <w:szCs w:val="20"/>
        </w:rPr>
        <w:t xml:space="preserve"> 41. </w:t>
      </w:r>
      <w:r w:rsidR="00D54EA2">
        <w:rPr>
          <w:rFonts w:ascii="Arial" w:hAnsi="Arial" w:cs="Arial"/>
          <w:sz w:val="20"/>
          <w:szCs w:val="20"/>
        </w:rPr>
        <w:t xml:space="preserve">Hier </w:t>
      </w:r>
      <w:r w:rsidR="00C10524">
        <w:rPr>
          <w:rFonts w:ascii="Arial" w:hAnsi="Arial" w:cs="Arial"/>
          <w:sz w:val="20"/>
          <w:szCs w:val="20"/>
        </w:rPr>
        <w:t xml:space="preserve">stehen dem Unternehmen </w:t>
      </w:r>
      <w:r w:rsidR="00C173E4">
        <w:rPr>
          <w:rFonts w:ascii="Arial" w:hAnsi="Arial" w:cs="Arial"/>
          <w:sz w:val="20"/>
          <w:szCs w:val="20"/>
        </w:rPr>
        <w:t xml:space="preserve">künftig </w:t>
      </w:r>
      <w:r w:rsidR="00C10524">
        <w:rPr>
          <w:rFonts w:ascii="Arial" w:hAnsi="Arial" w:cs="Arial"/>
          <w:sz w:val="20"/>
          <w:szCs w:val="20"/>
        </w:rPr>
        <w:t>rund 1.</w:t>
      </w:r>
      <w:r w:rsidR="00323E2A">
        <w:rPr>
          <w:rFonts w:ascii="Arial" w:hAnsi="Arial" w:cs="Arial"/>
          <w:sz w:val="20"/>
          <w:szCs w:val="20"/>
        </w:rPr>
        <w:t>800</w:t>
      </w:r>
      <w:r w:rsidR="00C10524">
        <w:rPr>
          <w:rFonts w:ascii="Arial" w:hAnsi="Arial" w:cs="Arial"/>
          <w:sz w:val="20"/>
          <w:szCs w:val="20"/>
        </w:rPr>
        <w:t xml:space="preserve"> m² Büro- und Produktionsfläche </w:t>
      </w:r>
      <w:r w:rsidR="00483F8D">
        <w:rPr>
          <w:rFonts w:ascii="Arial" w:hAnsi="Arial" w:cs="Arial"/>
          <w:sz w:val="20"/>
          <w:szCs w:val="20"/>
        </w:rPr>
        <w:t xml:space="preserve">im fünften Obergeschoss </w:t>
      </w:r>
      <w:r w:rsidR="00C10524">
        <w:rPr>
          <w:rFonts w:ascii="Arial" w:hAnsi="Arial" w:cs="Arial"/>
          <w:sz w:val="20"/>
          <w:szCs w:val="20"/>
        </w:rPr>
        <w:t xml:space="preserve">zur Verfügung. Bei dem Gebäude handelt es sich um den ehemaligen Produktionsstandort des Schreibgeräteherstellers </w:t>
      </w:r>
      <w:proofErr w:type="spellStart"/>
      <w:r w:rsidR="00C10524">
        <w:rPr>
          <w:rFonts w:ascii="Arial" w:hAnsi="Arial" w:cs="Arial"/>
          <w:sz w:val="20"/>
          <w:szCs w:val="20"/>
        </w:rPr>
        <w:t>Rotring</w:t>
      </w:r>
      <w:proofErr w:type="spellEnd"/>
      <w:r w:rsidR="00483F8D" w:rsidRPr="00483F8D">
        <w:rPr>
          <w:rFonts w:ascii="Arial" w:hAnsi="Arial" w:cs="Arial"/>
          <w:sz w:val="20"/>
          <w:szCs w:val="20"/>
        </w:rPr>
        <w:t xml:space="preserve"> </w:t>
      </w:r>
      <w:r w:rsidR="00483F8D">
        <w:rPr>
          <w:rFonts w:ascii="Arial" w:hAnsi="Arial" w:cs="Arial"/>
          <w:sz w:val="20"/>
          <w:szCs w:val="20"/>
        </w:rPr>
        <w:t xml:space="preserve">im Gewerbegebiet </w:t>
      </w:r>
      <w:proofErr w:type="spellStart"/>
      <w:r w:rsidR="00483F8D">
        <w:rPr>
          <w:rFonts w:ascii="Arial" w:hAnsi="Arial" w:cs="Arial"/>
          <w:sz w:val="20"/>
          <w:szCs w:val="20"/>
        </w:rPr>
        <w:t>Winsbergring</w:t>
      </w:r>
      <w:proofErr w:type="spellEnd"/>
      <w:r w:rsidR="000511DA">
        <w:rPr>
          <w:rFonts w:ascii="Arial" w:hAnsi="Arial" w:cs="Arial"/>
          <w:sz w:val="20"/>
          <w:szCs w:val="20"/>
        </w:rPr>
        <w:t xml:space="preserve">, der heute </w:t>
      </w:r>
      <w:proofErr w:type="spellStart"/>
      <w:r w:rsidR="000511DA">
        <w:rPr>
          <w:rFonts w:ascii="Arial" w:hAnsi="Arial" w:cs="Arial"/>
          <w:sz w:val="20"/>
          <w:szCs w:val="20"/>
        </w:rPr>
        <w:t>Immo</w:t>
      </w:r>
      <w:r w:rsidR="00C173E4">
        <w:rPr>
          <w:rFonts w:ascii="Arial" w:hAnsi="Arial" w:cs="Arial"/>
          <w:sz w:val="20"/>
          <w:szCs w:val="20"/>
        </w:rPr>
        <w:t>Rex</w:t>
      </w:r>
      <w:proofErr w:type="spellEnd"/>
      <w:r w:rsidR="00C173E4">
        <w:rPr>
          <w:rFonts w:ascii="Arial" w:hAnsi="Arial" w:cs="Arial"/>
          <w:sz w:val="20"/>
          <w:szCs w:val="20"/>
        </w:rPr>
        <w:t xml:space="preserve"> gehört</w:t>
      </w:r>
      <w:r w:rsidR="000511DA">
        <w:rPr>
          <w:rFonts w:ascii="Arial" w:hAnsi="Arial" w:cs="Arial"/>
          <w:sz w:val="20"/>
          <w:szCs w:val="20"/>
        </w:rPr>
        <w:t xml:space="preserve">. </w:t>
      </w:r>
      <w:r w:rsidR="00483F8D">
        <w:rPr>
          <w:rFonts w:ascii="Arial" w:hAnsi="Arial" w:cs="Arial"/>
          <w:sz w:val="20"/>
          <w:szCs w:val="20"/>
        </w:rPr>
        <w:t xml:space="preserve">Die Vermittlung der </w:t>
      </w:r>
      <w:r w:rsidR="00257419">
        <w:rPr>
          <w:rFonts w:ascii="Arial" w:hAnsi="Arial" w:cs="Arial"/>
          <w:sz w:val="20"/>
          <w:szCs w:val="20"/>
        </w:rPr>
        <w:t>Untermietf</w:t>
      </w:r>
      <w:r w:rsidR="00483F8D">
        <w:rPr>
          <w:rFonts w:ascii="Arial" w:hAnsi="Arial" w:cs="Arial"/>
          <w:sz w:val="20"/>
          <w:szCs w:val="20"/>
        </w:rPr>
        <w:t>läche erfolgt</w:t>
      </w:r>
      <w:r w:rsidR="00257419">
        <w:rPr>
          <w:rFonts w:ascii="Arial" w:hAnsi="Arial" w:cs="Arial"/>
          <w:sz w:val="20"/>
          <w:szCs w:val="20"/>
        </w:rPr>
        <w:t>e</w:t>
      </w:r>
      <w:r w:rsidR="00483F8D">
        <w:rPr>
          <w:rFonts w:ascii="Arial" w:hAnsi="Arial" w:cs="Arial"/>
          <w:sz w:val="20"/>
          <w:szCs w:val="20"/>
        </w:rPr>
        <w:t xml:space="preserve"> durch Grossmann &amp; Berger, Mitglied von German Property Partners (GPP).</w:t>
      </w:r>
      <w:r w:rsidR="00257419">
        <w:rPr>
          <w:rFonts w:ascii="Arial" w:hAnsi="Arial" w:cs="Arial"/>
          <w:sz w:val="20"/>
          <w:szCs w:val="20"/>
        </w:rPr>
        <w:t xml:space="preserve"> Hauptmieter der Fläche ist Buddy &amp; </w:t>
      </w:r>
      <w:proofErr w:type="spellStart"/>
      <w:r w:rsidR="00257419">
        <w:rPr>
          <w:rFonts w:ascii="Arial" w:hAnsi="Arial" w:cs="Arial"/>
          <w:sz w:val="20"/>
          <w:szCs w:val="20"/>
        </w:rPr>
        <w:t>Selly</w:t>
      </w:r>
      <w:proofErr w:type="spellEnd"/>
      <w:r w:rsidR="00257419">
        <w:rPr>
          <w:rFonts w:ascii="Arial" w:hAnsi="Arial" w:cs="Arial"/>
          <w:sz w:val="20"/>
          <w:szCs w:val="20"/>
        </w:rPr>
        <w:t xml:space="preserve"> Reverse Ret</w:t>
      </w:r>
      <w:bookmarkStart w:id="0" w:name="_GoBack"/>
      <w:bookmarkEnd w:id="0"/>
      <w:r w:rsidR="00257419">
        <w:rPr>
          <w:rFonts w:ascii="Arial" w:hAnsi="Arial" w:cs="Arial"/>
          <w:sz w:val="20"/>
          <w:szCs w:val="20"/>
        </w:rPr>
        <w:t>ail.</w:t>
      </w:r>
    </w:p>
    <w:p w:rsidR="000511DA" w:rsidRDefault="000511DA" w:rsidP="004827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6762F" w:rsidRDefault="00C10524" w:rsidP="004827C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Nachdem </w:t>
      </w:r>
      <w:proofErr w:type="spellStart"/>
      <w:r w:rsidR="00257419">
        <w:rPr>
          <w:rFonts w:ascii="Arial" w:hAnsi="Arial" w:cs="Arial"/>
          <w:sz w:val="20"/>
          <w:szCs w:val="20"/>
        </w:rPr>
        <w:t>Rotring</w:t>
      </w:r>
      <w:proofErr w:type="spellEnd"/>
      <w:r w:rsidR="00257419">
        <w:rPr>
          <w:rFonts w:ascii="Arial" w:hAnsi="Arial" w:cs="Arial"/>
          <w:sz w:val="20"/>
          <w:szCs w:val="20"/>
        </w:rPr>
        <w:t xml:space="preserve"> 2002 sein</w:t>
      </w:r>
      <w:r>
        <w:rPr>
          <w:rFonts w:ascii="Arial" w:hAnsi="Arial" w:cs="Arial"/>
          <w:sz w:val="20"/>
          <w:szCs w:val="20"/>
        </w:rPr>
        <w:t xml:space="preserve"> </w:t>
      </w:r>
      <w:r w:rsidR="000511DA">
        <w:rPr>
          <w:rFonts w:ascii="Arial" w:hAnsi="Arial" w:cs="Arial"/>
          <w:sz w:val="20"/>
          <w:szCs w:val="20"/>
        </w:rPr>
        <w:t>ehemals viergeschossige</w:t>
      </w:r>
      <w:r w:rsidR="00257419">
        <w:rPr>
          <w:rFonts w:ascii="Arial" w:hAnsi="Arial" w:cs="Arial"/>
          <w:sz w:val="20"/>
          <w:szCs w:val="20"/>
        </w:rPr>
        <w:t>s</w:t>
      </w:r>
      <w:r w:rsidR="000511DA">
        <w:rPr>
          <w:rFonts w:ascii="Arial" w:hAnsi="Arial" w:cs="Arial"/>
          <w:sz w:val="20"/>
          <w:szCs w:val="20"/>
        </w:rPr>
        <w:t xml:space="preserve"> Produktions- und Verwaltungsgebäude </w:t>
      </w:r>
      <w:r>
        <w:rPr>
          <w:rFonts w:ascii="Arial" w:hAnsi="Arial" w:cs="Arial"/>
          <w:sz w:val="20"/>
          <w:szCs w:val="20"/>
        </w:rPr>
        <w:t xml:space="preserve">aufgegeben </w:t>
      </w:r>
      <w:r w:rsidR="00257419">
        <w:rPr>
          <w:rFonts w:ascii="Arial" w:hAnsi="Arial" w:cs="Arial"/>
          <w:sz w:val="20"/>
          <w:szCs w:val="20"/>
        </w:rPr>
        <w:t>hatte</w:t>
      </w:r>
      <w:r>
        <w:rPr>
          <w:rFonts w:ascii="Arial" w:hAnsi="Arial" w:cs="Arial"/>
          <w:sz w:val="20"/>
          <w:szCs w:val="20"/>
        </w:rPr>
        <w:t>,</w:t>
      </w:r>
      <w:r w:rsidR="000511DA">
        <w:rPr>
          <w:rFonts w:ascii="Arial" w:hAnsi="Arial" w:cs="Arial"/>
          <w:sz w:val="20"/>
          <w:szCs w:val="20"/>
        </w:rPr>
        <w:t xml:space="preserve"> wurde es komplett renoviert und um zwei Geschosse sowie um vier Erschließungskerne erweitert. Insgesamt umfasst die Immobilie rund 17.500 m² gewerblich nutzbare Multi-</w:t>
      </w:r>
      <w:proofErr w:type="spellStart"/>
      <w:r w:rsidR="000511DA">
        <w:rPr>
          <w:rFonts w:ascii="Arial" w:hAnsi="Arial" w:cs="Arial"/>
          <w:sz w:val="20"/>
          <w:szCs w:val="20"/>
        </w:rPr>
        <w:t>Use</w:t>
      </w:r>
      <w:proofErr w:type="spellEnd"/>
      <w:r w:rsidR="000511DA">
        <w:rPr>
          <w:rFonts w:ascii="Arial" w:hAnsi="Arial" w:cs="Arial"/>
          <w:sz w:val="20"/>
          <w:szCs w:val="20"/>
        </w:rPr>
        <w:t>-Flächen.</w:t>
      </w:r>
    </w:p>
    <w:p w:rsidR="00C77993" w:rsidRDefault="00C77993" w:rsidP="004827C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77993" w:rsidRDefault="00C77993" w:rsidP="004827C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Zellerfeld R&amp;D unterhält eine Online-Plattform, auf der </w:t>
      </w:r>
      <w:r w:rsidR="002D02EA">
        <w:rPr>
          <w:rFonts w:ascii="Arial" w:hAnsi="Arial" w:cs="Arial"/>
          <w:sz w:val="20"/>
          <w:szCs w:val="20"/>
        </w:rPr>
        <w:t xml:space="preserve">auf der ganzen Welt tätige </w:t>
      </w:r>
      <w:r>
        <w:rPr>
          <w:rFonts w:ascii="Arial" w:hAnsi="Arial" w:cs="Arial"/>
          <w:sz w:val="20"/>
          <w:szCs w:val="20"/>
        </w:rPr>
        <w:t xml:space="preserve">Designer ihre 3D-Schuhdesigns anbieten können. Kunden </w:t>
      </w:r>
      <w:r w:rsidR="002D02EA">
        <w:rPr>
          <w:rFonts w:ascii="Arial" w:hAnsi="Arial" w:cs="Arial"/>
          <w:sz w:val="20"/>
          <w:szCs w:val="20"/>
        </w:rPr>
        <w:t xml:space="preserve">wiederum können </w:t>
      </w:r>
      <w:r>
        <w:rPr>
          <w:rFonts w:ascii="Arial" w:hAnsi="Arial" w:cs="Arial"/>
          <w:sz w:val="20"/>
          <w:szCs w:val="20"/>
        </w:rPr>
        <w:t xml:space="preserve">sich </w:t>
      </w:r>
      <w:r w:rsidR="002D02EA">
        <w:rPr>
          <w:rFonts w:ascii="Arial" w:hAnsi="Arial" w:cs="Arial"/>
          <w:sz w:val="20"/>
          <w:szCs w:val="20"/>
        </w:rPr>
        <w:t xml:space="preserve">hier </w:t>
      </w:r>
      <w:r>
        <w:rPr>
          <w:rFonts w:ascii="Arial" w:hAnsi="Arial" w:cs="Arial"/>
          <w:sz w:val="20"/>
          <w:szCs w:val="20"/>
        </w:rPr>
        <w:t xml:space="preserve">ihre </w:t>
      </w:r>
      <w:proofErr w:type="spellStart"/>
      <w:r>
        <w:rPr>
          <w:rFonts w:ascii="Arial" w:hAnsi="Arial" w:cs="Arial"/>
          <w:sz w:val="20"/>
          <w:szCs w:val="20"/>
        </w:rPr>
        <w:t>Wunschsneaker</w:t>
      </w:r>
      <w:proofErr w:type="spellEnd"/>
      <w:r>
        <w:rPr>
          <w:rFonts w:ascii="Arial" w:hAnsi="Arial" w:cs="Arial"/>
          <w:sz w:val="20"/>
          <w:szCs w:val="20"/>
        </w:rPr>
        <w:t xml:space="preserve"> anpassen und personalisiert ausgedruckt produzieren lassen.</w:t>
      </w:r>
    </w:p>
    <w:p w:rsidR="00F32622" w:rsidRDefault="00F32622" w:rsidP="00784917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784917" w:rsidTr="00435469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C10524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Bürofläche, </w:t>
            </w:r>
            <w:r w:rsidR="004827CF">
              <w:rPr>
                <w:rFonts w:ascii="Arial" w:hAnsi="Arial"/>
                <w:sz w:val="20"/>
                <w:szCs w:val="20"/>
              </w:rPr>
              <w:t>Produktionsfläche</w:t>
            </w:r>
          </w:p>
        </w:tc>
      </w:tr>
      <w:tr w:rsidR="00784917" w:rsidTr="00435469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4827CF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4827CF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Hamburg, Bahrenfeld</w:t>
            </w:r>
          </w:p>
        </w:tc>
      </w:tr>
      <w:tr w:rsidR="00784917" w:rsidTr="00435469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4827CF" w:rsidP="00243480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Schnackenburgallee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41</w:t>
            </w:r>
          </w:p>
        </w:tc>
      </w:tr>
      <w:tr w:rsidR="00784917" w:rsidTr="00435469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4827CF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C173E4" w:rsidP="002018FD">
            <w:pPr>
              <w:spacing w:after="100"/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Immo</w:t>
            </w:r>
            <w:r w:rsidR="004827CF">
              <w:rPr>
                <w:rFonts w:ascii="Arial" w:hAnsi="Arial"/>
                <w:sz w:val="20"/>
                <w:szCs w:val="20"/>
              </w:rPr>
              <w:t>Rex</w:t>
            </w:r>
            <w:proofErr w:type="spellEnd"/>
            <w:r w:rsidR="004827CF">
              <w:rPr>
                <w:rFonts w:ascii="Arial" w:hAnsi="Arial"/>
                <w:sz w:val="20"/>
                <w:szCs w:val="20"/>
              </w:rPr>
              <w:t xml:space="preserve"> AG</w:t>
            </w:r>
          </w:p>
        </w:tc>
      </w:tr>
      <w:tr w:rsidR="00784917" w:rsidTr="00435469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4827CF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4827CF" w:rsidP="00243480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Zellerfeld R&amp;D GmbH</w:t>
            </w:r>
          </w:p>
        </w:tc>
      </w:tr>
      <w:tr w:rsidR="001C6ED8" w:rsidTr="00435469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4827CF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  <w:r w:rsidR="00395DE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:rsidTr="00435469">
        <w:trPr>
          <w:trHeight w:val="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Default="004827CF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Bürofläche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84917" w:rsidRPr="00700D68" w:rsidRDefault="004827CF" w:rsidP="00243480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Ca. 1.800 m²</w:t>
            </w:r>
          </w:p>
        </w:tc>
      </w:tr>
    </w:tbl>
    <w:p w:rsidR="00784917" w:rsidRDefault="00784917" w:rsidP="000C770D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6E6828" w:rsidRPr="006E6828" w:rsidTr="00C77993">
        <w:trPr>
          <w:trHeight w:val="469"/>
        </w:trPr>
        <w:tc>
          <w:tcPr>
            <w:tcW w:w="4536" w:type="dxa"/>
          </w:tcPr>
          <w:p w:rsidR="00AC6CBF" w:rsidRPr="006E6828" w:rsidRDefault="00257419" w:rsidP="00D45613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>
                  <wp:extent cx="2743102" cy="1497820"/>
                  <wp:effectExtent l="0" t="0" r="635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3820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43200" cy="1497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C6CBF" w:rsidRDefault="00257419" w:rsidP="00752E6F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Bildunterschrift:</w:t>
            </w:r>
          </w:p>
          <w:p w:rsidR="00257419" w:rsidRDefault="00257419" w:rsidP="0025741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Grossmann &amp; Berger hat dem New Yorker Start-up Zellerfeld R&amp;D 2021 deren neuen Standort in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Schnackenburgallee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41 in Hamburg-Bahrenfeld vermittelt.</w:t>
            </w:r>
          </w:p>
          <w:p w:rsidR="00257419" w:rsidRDefault="00257419" w:rsidP="0025741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57419" w:rsidRPr="006E6828" w:rsidRDefault="00257419" w:rsidP="0025741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Bildquelle: Grossmann &amp; Berger GmbH</w:t>
            </w:r>
          </w:p>
        </w:tc>
      </w:tr>
    </w:tbl>
    <w:p w:rsidR="00D8382B" w:rsidRPr="00D60DC4" w:rsidRDefault="00D60DC4" w:rsidP="006E0F35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16"/>
          <w:szCs w:val="16"/>
        </w:rPr>
      </w:pPr>
      <w:r w:rsidRPr="00D60DC4">
        <w:rPr>
          <w:rFonts w:ascii="Arial" w:hAnsi="Arial" w:cs="Arial"/>
          <w:sz w:val="16"/>
          <w:szCs w:val="16"/>
        </w:rPr>
        <w:lastRenderedPageBreak/>
        <w:t xml:space="preserve">Die </w:t>
      </w:r>
      <w:hyperlink r:id="rId9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D8382B" w:rsidRPr="00D60DC4" w:rsidSect="00D83CB7">
      <w:headerReference w:type="default" r:id="rId13"/>
      <w:footerReference w:type="default" r:id="rId14"/>
      <w:headerReference w:type="first" r:id="rId15"/>
      <w:footerReference w:type="first" r:id="rId16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1DF" w:rsidRDefault="006261DF">
      <w:r>
        <w:separator/>
      </w:r>
    </w:p>
  </w:endnote>
  <w:endnote w:type="continuationSeparator" w:id="0">
    <w:p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646A03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646A03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646A03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B782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B782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5D14E02" wp14:editId="79AA9091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1DF" w:rsidRDefault="006261DF">
      <w:r>
        <w:separator/>
      </w:r>
    </w:p>
  </w:footnote>
  <w:footnote w:type="continuationSeparator" w:id="0">
    <w:p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FA1027" wp14:editId="564A7DBC">
              <wp:simplePos x="0" y="0"/>
              <wp:positionH relativeFrom="column">
                <wp:posOffset>-94311</wp:posOffset>
              </wp:positionH>
              <wp:positionV relativeFrom="paragraph">
                <wp:posOffset>20955</wp:posOffset>
              </wp:positionV>
              <wp:extent cx="4579952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1.65pt;width:360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FA1027" wp14:editId="564A7DBC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E483215"/>
    <w:multiLevelType w:val="hybridMultilevel"/>
    <w:tmpl w:val="0406A0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bbruch" w:val="0"/>
  </w:docVars>
  <w:rsids>
    <w:rsidRoot w:val="004661EE"/>
    <w:rsid w:val="000152F1"/>
    <w:rsid w:val="000159FE"/>
    <w:rsid w:val="00022F16"/>
    <w:rsid w:val="00023D78"/>
    <w:rsid w:val="0003075C"/>
    <w:rsid w:val="000511DA"/>
    <w:rsid w:val="00060743"/>
    <w:rsid w:val="00063A33"/>
    <w:rsid w:val="00066796"/>
    <w:rsid w:val="00076346"/>
    <w:rsid w:val="000766D7"/>
    <w:rsid w:val="000858FA"/>
    <w:rsid w:val="000B3315"/>
    <w:rsid w:val="000C00B8"/>
    <w:rsid w:val="000C770D"/>
    <w:rsid w:val="000E03F3"/>
    <w:rsid w:val="001029C4"/>
    <w:rsid w:val="0011486D"/>
    <w:rsid w:val="00121E33"/>
    <w:rsid w:val="001324D6"/>
    <w:rsid w:val="00135BD2"/>
    <w:rsid w:val="001414FC"/>
    <w:rsid w:val="00145F7A"/>
    <w:rsid w:val="00154825"/>
    <w:rsid w:val="001655B6"/>
    <w:rsid w:val="0017516B"/>
    <w:rsid w:val="00176F1D"/>
    <w:rsid w:val="001960CD"/>
    <w:rsid w:val="001A2ABE"/>
    <w:rsid w:val="001A360C"/>
    <w:rsid w:val="001C45EF"/>
    <w:rsid w:val="001C6ED8"/>
    <w:rsid w:val="001C6ED9"/>
    <w:rsid w:val="001D14DA"/>
    <w:rsid w:val="001E2473"/>
    <w:rsid w:val="001E6995"/>
    <w:rsid w:val="001F1513"/>
    <w:rsid w:val="001F734B"/>
    <w:rsid w:val="002018FD"/>
    <w:rsid w:val="00205769"/>
    <w:rsid w:val="00212FEC"/>
    <w:rsid w:val="002131BB"/>
    <w:rsid w:val="00227E31"/>
    <w:rsid w:val="00230F81"/>
    <w:rsid w:val="00254C6F"/>
    <w:rsid w:val="00257419"/>
    <w:rsid w:val="00281E80"/>
    <w:rsid w:val="002834B0"/>
    <w:rsid w:val="00283671"/>
    <w:rsid w:val="00284E27"/>
    <w:rsid w:val="002A1973"/>
    <w:rsid w:val="002B72CA"/>
    <w:rsid w:val="002C0179"/>
    <w:rsid w:val="002C2392"/>
    <w:rsid w:val="002C2503"/>
    <w:rsid w:val="002C6328"/>
    <w:rsid w:val="002D02EA"/>
    <w:rsid w:val="002D1C5C"/>
    <w:rsid w:val="002E6860"/>
    <w:rsid w:val="002F0411"/>
    <w:rsid w:val="00304CC6"/>
    <w:rsid w:val="00323E2A"/>
    <w:rsid w:val="00325E2A"/>
    <w:rsid w:val="0034786C"/>
    <w:rsid w:val="003517C9"/>
    <w:rsid w:val="00364B9A"/>
    <w:rsid w:val="00370000"/>
    <w:rsid w:val="00373507"/>
    <w:rsid w:val="0038230E"/>
    <w:rsid w:val="00382529"/>
    <w:rsid w:val="00395DE5"/>
    <w:rsid w:val="003E099F"/>
    <w:rsid w:val="0040086D"/>
    <w:rsid w:val="004017D8"/>
    <w:rsid w:val="00411E03"/>
    <w:rsid w:val="004123B1"/>
    <w:rsid w:val="004303A1"/>
    <w:rsid w:val="00435469"/>
    <w:rsid w:val="00440DC9"/>
    <w:rsid w:val="004506D2"/>
    <w:rsid w:val="00456F40"/>
    <w:rsid w:val="004609BD"/>
    <w:rsid w:val="004661EE"/>
    <w:rsid w:val="00466741"/>
    <w:rsid w:val="00472C55"/>
    <w:rsid w:val="004827CF"/>
    <w:rsid w:val="00483F8D"/>
    <w:rsid w:val="004A2BEA"/>
    <w:rsid w:val="004A3C64"/>
    <w:rsid w:val="004A5AEA"/>
    <w:rsid w:val="004B2FDA"/>
    <w:rsid w:val="004B480A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28C5"/>
    <w:rsid w:val="00543C55"/>
    <w:rsid w:val="0055136C"/>
    <w:rsid w:val="00552E1B"/>
    <w:rsid w:val="005554C7"/>
    <w:rsid w:val="00567278"/>
    <w:rsid w:val="00582B99"/>
    <w:rsid w:val="005A6990"/>
    <w:rsid w:val="005B0FC9"/>
    <w:rsid w:val="005B66D3"/>
    <w:rsid w:val="005C4556"/>
    <w:rsid w:val="005C5302"/>
    <w:rsid w:val="005E362E"/>
    <w:rsid w:val="005F36FC"/>
    <w:rsid w:val="0061109D"/>
    <w:rsid w:val="00612AA0"/>
    <w:rsid w:val="006138CB"/>
    <w:rsid w:val="006224C4"/>
    <w:rsid w:val="006225EA"/>
    <w:rsid w:val="006261DF"/>
    <w:rsid w:val="00640932"/>
    <w:rsid w:val="00642074"/>
    <w:rsid w:val="00646A03"/>
    <w:rsid w:val="006635D4"/>
    <w:rsid w:val="0066762F"/>
    <w:rsid w:val="006944A9"/>
    <w:rsid w:val="00695E58"/>
    <w:rsid w:val="006A1329"/>
    <w:rsid w:val="006E0F35"/>
    <w:rsid w:val="006E6828"/>
    <w:rsid w:val="00720DFF"/>
    <w:rsid w:val="00727E24"/>
    <w:rsid w:val="00752E6F"/>
    <w:rsid w:val="00757F36"/>
    <w:rsid w:val="00762CC5"/>
    <w:rsid w:val="00784917"/>
    <w:rsid w:val="007906B4"/>
    <w:rsid w:val="007E759D"/>
    <w:rsid w:val="00812471"/>
    <w:rsid w:val="008261A5"/>
    <w:rsid w:val="0083382E"/>
    <w:rsid w:val="00855325"/>
    <w:rsid w:val="00862E34"/>
    <w:rsid w:val="00865915"/>
    <w:rsid w:val="00871832"/>
    <w:rsid w:val="00872BE8"/>
    <w:rsid w:val="008800F0"/>
    <w:rsid w:val="00880E09"/>
    <w:rsid w:val="00886CCE"/>
    <w:rsid w:val="00896B33"/>
    <w:rsid w:val="008A62FB"/>
    <w:rsid w:val="008A77B7"/>
    <w:rsid w:val="008B0F67"/>
    <w:rsid w:val="008C608D"/>
    <w:rsid w:val="008E461D"/>
    <w:rsid w:val="008F08E5"/>
    <w:rsid w:val="008F5213"/>
    <w:rsid w:val="00920C9C"/>
    <w:rsid w:val="00922754"/>
    <w:rsid w:val="00925781"/>
    <w:rsid w:val="009258D0"/>
    <w:rsid w:val="00935AB3"/>
    <w:rsid w:val="00941C0F"/>
    <w:rsid w:val="00952D22"/>
    <w:rsid w:val="009734CE"/>
    <w:rsid w:val="00991FA5"/>
    <w:rsid w:val="00996E1A"/>
    <w:rsid w:val="009B564B"/>
    <w:rsid w:val="009C0952"/>
    <w:rsid w:val="009C18F5"/>
    <w:rsid w:val="009D24DA"/>
    <w:rsid w:val="009D5D75"/>
    <w:rsid w:val="009F32A2"/>
    <w:rsid w:val="009F54CE"/>
    <w:rsid w:val="00A06264"/>
    <w:rsid w:val="00A1639A"/>
    <w:rsid w:val="00A215C9"/>
    <w:rsid w:val="00A4145E"/>
    <w:rsid w:val="00A5364B"/>
    <w:rsid w:val="00A615E0"/>
    <w:rsid w:val="00A65988"/>
    <w:rsid w:val="00A65E2B"/>
    <w:rsid w:val="00A74AA0"/>
    <w:rsid w:val="00A77100"/>
    <w:rsid w:val="00AC6CBF"/>
    <w:rsid w:val="00AD17B7"/>
    <w:rsid w:val="00B077D5"/>
    <w:rsid w:val="00B200E4"/>
    <w:rsid w:val="00B35B6D"/>
    <w:rsid w:val="00B35DC6"/>
    <w:rsid w:val="00B4332F"/>
    <w:rsid w:val="00B51699"/>
    <w:rsid w:val="00B53FAF"/>
    <w:rsid w:val="00B62319"/>
    <w:rsid w:val="00B63153"/>
    <w:rsid w:val="00B6527D"/>
    <w:rsid w:val="00B73B3A"/>
    <w:rsid w:val="00B74507"/>
    <w:rsid w:val="00B75718"/>
    <w:rsid w:val="00B75E7E"/>
    <w:rsid w:val="00B93817"/>
    <w:rsid w:val="00BA0B96"/>
    <w:rsid w:val="00BB15DA"/>
    <w:rsid w:val="00BB340D"/>
    <w:rsid w:val="00BC2A3A"/>
    <w:rsid w:val="00BC64EC"/>
    <w:rsid w:val="00BD073D"/>
    <w:rsid w:val="00BF3AFD"/>
    <w:rsid w:val="00C10524"/>
    <w:rsid w:val="00C105F4"/>
    <w:rsid w:val="00C1606C"/>
    <w:rsid w:val="00C173E4"/>
    <w:rsid w:val="00C23180"/>
    <w:rsid w:val="00C27286"/>
    <w:rsid w:val="00C41492"/>
    <w:rsid w:val="00C702B5"/>
    <w:rsid w:val="00C70389"/>
    <w:rsid w:val="00C7240B"/>
    <w:rsid w:val="00C77993"/>
    <w:rsid w:val="00C82607"/>
    <w:rsid w:val="00C904B6"/>
    <w:rsid w:val="00C96DF4"/>
    <w:rsid w:val="00C96E0B"/>
    <w:rsid w:val="00CC1337"/>
    <w:rsid w:val="00CC48DF"/>
    <w:rsid w:val="00CD2F26"/>
    <w:rsid w:val="00CD70E7"/>
    <w:rsid w:val="00CD7363"/>
    <w:rsid w:val="00CE0C1F"/>
    <w:rsid w:val="00CE455F"/>
    <w:rsid w:val="00CF0BF9"/>
    <w:rsid w:val="00CF5957"/>
    <w:rsid w:val="00CF5BB8"/>
    <w:rsid w:val="00D04BA2"/>
    <w:rsid w:val="00D077B0"/>
    <w:rsid w:val="00D22D42"/>
    <w:rsid w:val="00D338E9"/>
    <w:rsid w:val="00D34638"/>
    <w:rsid w:val="00D36D8D"/>
    <w:rsid w:val="00D45711"/>
    <w:rsid w:val="00D45AF2"/>
    <w:rsid w:val="00D500FC"/>
    <w:rsid w:val="00D51597"/>
    <w:rsid w:val="00D5326E"/>
    <w:rsid w:val="00D54EA2"/>
    <w:rsid w:val="00D55867"/>
    <w:rsid w:val="00D56400"/>
    <w:rsid w:val="00D60DC4"/>
    <w:rsid w:val="00D634A3"/>
    <w:rsid w:val="00D72339"/>
    <w:rsid w:val="00D73E47"/>
    <w:rsid w:val="00D74ABB"/>
    <w:rsid w:val="00D8382B"/>
    <w:rsid w:val="00D83CB7"/>
    <w:rsid w:val="00D97FA8"/>
    <w:rsid w:val="00DA082C"/>
    <w:rsid w:val="00DC7B25"/>
    <w:rsid w:val="00DD384D"/>
    <w:rsid w:val="00DD6B73"/>
    <w:rsid w:val="00DE4345"/>
    <w:rsid w:val="00E112C9"/>
    <w:rsid w:val="00E158F7"/>
    <w:rsid w:val="00E2087E"/>
    <w:rsid w:val="00E36818"/>
    <w:rsid w:val="00E47B97"/>
    <w:rsid w:val="00E634CC"/>
    <w:rsid w:val="00E82F0E"/>
    <w:rsid w:val="00E96FAC"/>
    <w:rsid w:val="00EA129F"/>
    <w:rsid w:val="00EB35C7"/>
    <w:rsid w:val="00EB7822"/>
    <w:rsid w:val="00ED0582"/>
    <w:rsid w:val="00EE2342"/>
    <w:rsid w:val="00EE290D"/>
    <w:rsid w:val="00EE31F6"/>
    <w:rsid w:val="00EE36DC"/>
    <w:rsid w:val="00F044EE"/>
    <w:rsid w:val="00F10717"/>
    <w:rsid w:val="00F32622"/>
    <w:rsid w:val="00F3320B"/>
    <w:rsid w:val="00F40E92"/>
    <w:rsid w:val="00F41947"/>
    <w:rsid w:val="00F435AA"/>
    <w:rsid w:val="00F63636"/>
    <w:rsid w:val="00F76C6A"/>
    <w:rsid w:val="00F827FE"/>
    <w:rsid w:val="00F83BF1"/>
    <w:rsid w:val="00F90CB9"/>
    <w:rsid w:val="00FB064F"/>
    <w:rsid w:val="00FB144F"/>
    <w:rsid w:val="00FB159A"/>
    <w:rsid w:val="00FB4B22"/>
    <w:rsid w:val="00FB4D77"/>
    <w:rsid w:val="00FC14D7"/>
    <w:rsid w:val="00FC497D"/>
    <w:rsid w:val="00FD076B"/>
    <w:rsid w:val="00FF2655"/>
    <w:rsid w:val="00FF3782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7"/>
    <o:shapelayout v:ext="edit">
      <o:idmap v:ext="edit" data="1"/>
    </o:shapelayout>
  </w:shapeDefaults>
  <w:decimalSymbol w:val=","/>
  <w:listSeparator w:val=";"/>
  <w14:docId w14:val="04262F52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grossmann-berg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0180517_Dokumentation%20der%20Verarbeitungstaetigkeit%20nach%20DSGVO_Presse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grossmann-berger.de/news/pressemap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datenschutz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AA4DA-1F69-4E06-8DC0-BDF1E421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109</cp:revision>
  <cp:lastPrinted>2017-12-15T09:20:00Z</cp:lastPrinted>
  <dcterms:created xsi:type="dcterms:W3CDTF">2017-12-15T09:30:00Z</dcterms:created>
  <dcterms:modified xsi:type="dcterms:W3CDTF">2021-11-30T08:21:00Z</dcterms:modified>
</cp:coreProperties>
</file>