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034" w14:textId="4E0A180F" w:rsidR="000D48D4" w:rsidRDefault="00424033" w:rsidP="00365AF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Berlin</w:t>
      </w:r>
      <w:r w:rsidR="00E90673" w:rsidRPr="0054412E">
        <w:rPr>
          <w:rFonts w:ascii="Arial" w:hAnsi="Arial" w:cs="Arial"/>
          <w:b/>
        </w:rPr>
        <w:t xml:space="preserve">: </w:t>
      </w:r>
      <w:r w:rsidR="009050B3">
        <w:rPr>
          <w:rFonts w:ascii="Arial" w:hAnsi="Arial" w:cs="Arial"/>
          <w:b/>
        </w:rPr>
        <w:t>Investmentmarkt 1.</w:t>
      </w:r>
      <w:r w:rsidR="00940FBB">
        <w:rPr>
          <w:rFonts w:ascii="Arial" w:hAnsi="Arial" w:cs="Arial"/>
          <w:b/>
        </w:rPr>
        <w:t>-2.</w:t>
      </w:r>
      <w:r w:rsidR="00B9324B" w:rsidRPr="00B9324B">
        <w:rPr>
          <w:rFonts w:ascii="Arial" w:hAnsi="Arial" w:cs="Arial"/>
          <w:b/>
        </w:rPr>
        <w:t xml:space="preserve"> Quartal 20</w:t>
      </w:r>
      <w:r w:rsidR="00BD6652">
        <w:rPr>
          <w:rFonts w:ascii="Arial" w:hAnsi="Arial" w:cs="Arial"/>
          <w:b/>
        </w:rPr>
        <w:t>21</w:t>
      </w:r>
      <w:r w:rsidR="0054412E">
        <w:rPr>
          <w:rFonts w:ascii="Arial" w:hAnsi="Arial" w:cs="Arial"/>
          <w:b/>
        </w:rPr>
        <w:br/>
      </w:r>
      <w:r w:rsidR="005703C3" w:rsidRPr="005703C3">
        <w:rPr>
          <w:rFonts w:ascii="Arial" w:hAnsi="Arial" w:cs="Arial"/>
          <w:b/>
          <w:sz w:val="28"/>
          <w:szCs w:val="28"/>
        </w:rPr>
        <w:t>Sondereffekt pusht Transaktionsvolumen für 1. Halbjahr</w:t>
      </w:r>
    </w:p>
    <w:p w14:paraId="5DC3EAC5" w14:textId="29DB094C" w:rsidR="00590903" w:rsidRPr="00253412" w:rsidRDefault="00590903" w:rsidP="00365AF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0F408916" w14:textId="5D150316" w:rsidR="00940FBB" w:rsidRDefault="00424033" w:rsidP="00F91D2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Berlin</w:t>
      </w:r>
      <w:r w:rsidR="00E90673" w:rsidRPr="00AB424B">
        <w:rPr>
          <w:rFonts w:ascii="Arial" w:hAnsi="Arial" w:cs="Arial"/>
          <w:b/>
          <w:sz w:val="20"/>
          <w:szCs w:val="20"/>
        </w:rPr>
        <w:t xml:space="preserve">, </w:t>
      </w:r>
      <w:r w:rsidR="00114D2A">
        <w:rPr>
          <w:rFonts w:ascii="Arial" w:hAnsi="Arial" w:cs="Arial"/>
          <w:b/>
          <w:sz w:val="20"/>
          <w:szCs w:val="20"/>
        </w:rPr>
        <w:t>13</w:t>
      </w:r>
      <w:r w:rsidR="00B31F77">
        <w:rPr>
          <w:rFonts w:ascii="Arial" w:hAnsi="Arial" w:cs="Arial"/>
          <w:b/>
          <w:sz w:val="20"/>
          <w:szCs w:val="20"/>
        </w:rPr>
        <w:t>.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940FBB">
        <w:rPr>
          <w:rFonts w:ascii="Arial" w:hAnsi="Arial" w:cs="Arial"/>
          <w:b/>
          <w:sz w:val="20"/>
          <w:szCs w:val="20"/>
        </w:rPr>
        <w:t>Juli</w:t>
      </w:r>
      <w:r w:rsidR="00132522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b/>
          <w:sz w:val="20"/>
          <w:szCs w:val="20"/>
        </w:rPr>
        <w:t>20</w:t>
      </w:r>
      <w:r w:rsidR="00BD6652">
        <w:rPr>
          <w:rFonts w:ascii="Arial" w:hAnsi="Arial" w:cs="Arial"/>
          <w:b/>
          <w:sz w:val="20"/>
          <w:szCs w:val="20"/>
        </w:rPr>
        <w:t>21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sz w:val="20"/>
          <w:szCs w:val="20"/>
        </w:rPr>
        <w:t>–</w:t>
      </w:r>
      <w:r w:rsidR="00797E4F" w:rsidRPr="00AB424B">
        <w:rPr>
          <w:rFonts w:ascii="Arial" w:hAnsi="Arial" w:cs="Arial"/>
          <w:b/>
          <w:sz w:val="20"/>
          <w:szCs w:val="20"/>
        </w:rPr>
        <w:t xml:space="preserve"> </w:t>
      </w:r>
      <w:r w:rsidR="002D19FA">
        <w:rPr>
          <w:rFonts w:ascii="Arial" w:hAnsi="Arial" w:cs="Arial"/>
          <w:sz w:val="20"/>
          <w:szCs w:val="20"/>
        </w:rPr>
        <w:t>Die</w:t>
      </w:r>
      <w:r w:rsidR="00940FBB">
        <w:rPr>
          <w:rFonts w:ascii="Arial" w:hAnsi="Arial" w:cs="Arial"/>
          <w:sz w:val="20"/>
          <w:szCs w:val="20"/>
        </w:rPr>
        <w:t xml:space="preserve"> Veräußerung des „Fürst“ am Kurfürstendamm 206-209 von </w:t>
      </w:r>
      <w:proofErr w:type="spellStart"/>
      <w:r w:rsidR="00940FBB">
        <w:rPr>
          <w:rFonts w:ascii="Arial" w:hAnsi="Arial" w:cs="Arial"/>
          <w:sz w:val="20"/>
          <w:szCs w:val="20"/>
        </w:rPr>
        <w:t>Vivion</w:t>
      </w:r>
      <w:proofErr w:type="spellEnd"/>
      <w:r w:rsidR="00940FBB">
        <w:rPr>
          <w:rFonts w:ascii="Arial" w:hAnsi="Arial" w:cs="Arial"/>
          <w:sz w:val="20"/>
          <w:szCs w:val="20"/>
        </w:rPr>
        <w:t xml:space="preserve"> an Aggregate Holdings </w:t>
      </w:r>
      <w:r w:rsidR="00844D14">
        <w:rPr>
          <w:rFonts w:ascii="Arial" w:hAnsi="Arial" w:cs="Arial"/>
          <w:sz w:val="20"/>
          <w:szCs w:val="20"/>
        </w:rPr>
        <w:t xml:space="preserve">im 2. Quartal 2021 sorgte </w:t>
      </w:r>
      <w:r w:rsidR="00940FBB">
        <w:rPr>
          <w:rFonts w:ascii="Arial" w:hAnsi="Arial" w:cs="Arial"/>
          <w:sz w:val="20"/>
          <w:szCs w:val="20"/>
        </w:rPr>
        <w:t xml:space="preserve">für das zweithöchste </w:t>
      </w:r>
      <w:r w:rsidR="00143320">
        <w:rPr>
          <w:rFonts w:ascii="Arial" w:hAnsi="Arial" w:cs="Arial"/>
          <w:sz w:val="20"/>
          <w:szCs w:val="20"/>
        </w:rPr>
        <w:t xml:space="preserve">jemals gemessene </w:t>
      </w:r>
      <w:r w:rsidR="00940FBB">
        <w:rPr>
          <w:rFonts w:ascii="Arial" w:hAnsi="Arial" w:cs="Arial"/>
          <w:sz w:val="20"/>
          <w:szCs w:val="20"/>
        </w:rPr>
        <w:t xml:space="preserve">Umsatzergebnis </w:t>
      </w:r>
      <w:r w:rsidR="00844D14">
        <w:rPr>
          <w:rFonts w:ascii="Arial" w:hAnsi="Arial" w:cs="Arial"/>
          <w:sz w:val="20"/>
          <w:szCs w:val="20"/>
        </w:rPr>
        <w:t>eines 1. </w:t>
      </w:r>
      <w:r w:rsidR="002D19FA">
        <w:rPr>
          <w:rFonts w:ascii="Arial" w:hAnsi="Arial" w:cs="Arial"/>
          <w:sz w:val="20"/>
          <w:szCs w:val="20"/>
        </w:rPr>
        <w:t xml:space="preserve">Halbjahres </w:t>
      </w:r>
      <w:r w:rsidR="00143320">
        <w:rPr>
          <w:rFonts w:ascii="Arial" w:hAnsi="Arial" w:cs="Arial"/>
          <w:sz w:val="20"/>
          <w:szCs w:val="20"/>
        </w:rPr>
        <w:t xml:space="preserve">auf dem Berliner Investmentmarkt für gewerbliche Immobilien. </w:t>
      </w:r>
      <w:r w:rsidR="002D19FA">
        <w:rPr>
          <w:rFonts w:ascii="Arial" w:hAnsi="Arial" w:cs="Arial"/>
          <w:sz w:val="20"/>
          <w:szCs w:val="20"/>
        </w:rPr>
        <w:t xml:space="preserve">So stieg das Transaktionsvolumen der ersten sechs Monate 2021 um 24 % auf </w:t>
      </w:r>
      <w:r w:rsidR="00700DB0">
        <w:rPr>
          <w:rFonts w:ascii="Arial" w:hAnsi="Arial" w:cs="Arial"/>
          <w:sz w:val="20"/>
          <w:szCs w:val="20"/>
        </w:rPr>
        <w:t xml:space="preserve">rund </w:t>
      </w:r>
      <w:bookmarkStart w:id="0" w:name="_GoBack"/>
      <w:bookmarkEnd w:id="0"/>
      <w:r w:rsidR="002D19FA">
        <w:rPr>
          <w:rFonts w:ascii="Arial" w:hAnsi="Arial" w:cs="Arial"/>
          <w:sz w:val="20"/>
          <w:szCs w:val="20"/>
        </w:rPr>
        <w:t>4,3 Mrd. €. Dieses Plus ist auch angesichts des sehr verhaltenen Jahresauftakts beachtlich und zeigt, dass sich der Markt nach der Corona-bedingten Verlangsamung nun wieder erholt</w:t>
      </w:r>
      <w:r w:rsidR="00874821">
        <w:rPr>
          <w:rFonts w:ascii="Arial" w:hAnsi="Arial" w:cs="Arial"/>
          <w:sz w:val="20"/>
          <w:szCs w:val="20"/>
        </w:rPr>
        <w:t>.</w:t>
      </w:r>
      <w:r w:rsidR="002D19FA">
        <w:rPr>
          <w:rFonts w:ascii="Arial" w:hAnsi="Arial" w:cs="Arial"/>
          <w:sz w:val="20"/>
          <w:szCs w:val="20"/>
        </w:rPr>
        <w:t xml:space="preserve"> </w:t>
      </w:r>
      <w:r w:rsidR="002D19FA" w:rsidRPr="005F2195">
        <w:rPr>
          <w:rFonts w:ascii="Arial" w:hAnsi="Arial" w:cs="Arial"/>
          <w:i/>
          <w:sz w:val="20"/>
          <w:szCs w:val="20"/>
        </w:rPr>
        <w:t>„Abgesehen von dem Sondereffekt durch die „Fürst“-Transaktion gab es</w:t>
      </w:r>
      <w:r w:rsidR="00874821">
        <w:rPr>
          <w:rFonts w:ascii="Arial" w:hAnsi="Arial" w:cs="Arial"/>
          <w:i/>
          <w:sz w:val="20"/>
          <w:szCs w:val="20"/>
        </w:rPr>
        <w:t xml:space="preserve"> im ersten Halbjahr 2021</w:t>
      </w:r>
      <w:r w:rsidR="002D19FA" w:rsidRPr="005F2195">
        <w:rPr>
          <w:rFonts w:ascii="Arial" w:hAnsi="Arial" w:cs="Arial"/>
          <w:i/>
          <w:sz w:val="20"/>
          <w:szCs w:val="20"/>
        </w:rPr>
        <w:t xml:space="preserve"> auch einige Verkäufe in der Größenklasse über 100 Mio. €</w:t>
      </w:r>
      <w:r w:rsidR="005F2195" w:rsidRPr="005F2195">
        <w:rPr>
          <w:rFonts w:ascii="Arial" w:hAnsi="Arial" w:cs="Arial"/>
          <w:i/>
          <w:sz w:val="20"/>
          <w:szCs w:val="20"/>
        </w:rPr>
        <w:t>. Besonders Objekte mit langfristigen Mietverträgen durch die öffentliche Hand erzielen weiter</w:t>
      </w:r>
      <w:r w:rsidR="00A344DD">
        <w:rPr>
          <w:rFonts w:ascii="Arial" w:hAnsi="Arial" w:cs="Arial"/>
          <w:i/>
          <w:sz w:val="20"/>
          <w:szCs w:val="20"/>
        </w:rPr>
        <w:t>e</w:t>
      </w:r>
      <w:r w:rsidR="005F2195" w:rsidRPr="005F2195">
        <w:rPr>
          <w:rFonts w:ascii="Arial" w:hAnsi="Arial" w:cs="Arial"/>
          <w:i/>
          <w:sz w:val="20"/>
          <w:szCs w:val="20"/>
        </w:rPr>
        <w:t xml:space="preserve"> Höchstpreise“,</w:t>
      </w:r>
      <w:r w:rsidR="005F2195">
        <w:rPr>
          <w:rFonts w:ascii="Arial" w:hAnsi="Arial" w:cs="Arial"/>
          <w:sz w:val="20"/>
          <w:szCs w:val="20"/>
        </w:rPr>
        <w:t xml:space="preserve"> erläutert </w:t>
      </w:r>
      <w:r w:rsidR="005F2195" w:rsidRPr="00087A17">
        <w:rPr>
          <w:rFonts w:ascii="Arial" w:hAnsi="Arial" w:cs="Arial"/>
          <w:b/>
          <w:sz w:val="20"/>
          <w:szCs w:val="20"/>
        </w:rPr>
        <w:t>Holger Michaelis</w:t>
      </w:r>
      <w:r w:rsidR="005F2195">
        <w:rPr>
          <w:rFonts w:ascii="Arial" w:hAnsi="Arial" w:cs="Arial"/>
          <w:sz w:val="20"/>
          <w:szCs w:val="20"/>
        </w:rPr>
        <w:t xml:space="preserve">, Geschäftsführer von Grossmann &amp; Berger, Mitglied von German Property Partners (GPP). </w:t>
      </w:r>
      <w:r w:rsidR="00A344DD">
        <w:rPr>
          <w:rFonts w:ascii="Arial" w:hAnsi="Arial" w:cs="Arial"/>
          <w:sz w:val="20"/>
          <w:szCs w:val="20"/>
        </w:rPr>
        <w:t>Die hohe Nachfrage nach Core-Produkten verstärkt den Druck auf die Büro-Renditen. Für das Gesamtjahr 2021 prognostiziert Grossmann &amp; Berger angesichts des genannten Sondereffekts ein Transaktionsvolumen von 7,5 Mrd. €.</w:t>
      </w:r>
    </w:p>
    <w:p w14:paraId="2CE8AC6A" w14:textId="353B035F" w:rsidR="00906FC5" w:rsidRPr="00D35A6D" w:rsidRDefault="00906FC5" w:rsidP="00906FC5">
      <w:pPr>
        <w:spacing w:after="0" w:line="360" w:lineRule="auto"/>
        <w:rPr>
          <w:rFonts w:ascii="Arial" w:hAnsi="Arial" w:cs="Arial"/>
          <w:sz w:val="18"/>
          <w:szCs w:val="20"/>
        </w:rPr>
      </w:pPr>
    </w:p>
    <w:p w14:paraId="79CA357A" w14:textId="58F908D1" w:rsidR="000A5ED1" w:rsidRPr="00D35A6D" w:rsidRDefault="00365AF8" w:rsidP="00365AF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9D59530" w14:textId="372B48FF" w:rsidR="00F97A65" w:rsidRDefault="00F97A65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Kauf </w:t>
      </w:r>
      <w:r w:rsidR="00933C0C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 xml:space="preserve"> „Fürst“ durch Aggregate Holdings </w:t>
      </w:r>
      <w:r w:rsidR="00933C0C">
        <w:rPr>
          <w:rFonts w:ascii="Arial" w:hAnsi="Arial" w:cs="Arial"/>
          <w:sz w:val="20"/>
          <w:szCs w:val="20"/>
        </w:rPr>
        <w:t xml:space="preserve">von </w:t>
      </w:r>
      <w:proofErr w:type="spellStart"/>
      <w:r w:rsidR="00933C0C">
        <w:rPr>
          <w:rFonts w:ascii="Arial" w:hAnsi="Arial" w:cs="Arial"/>
          <w:sz w:val="20"/>
          <w:szCs w:val="20"/>
        </w:rPr>
        <w:t>Vivion</w:t>
      </w:r>
      <w:proofErr w:type="spellEnd"/>
      <w:r w:rsidR="00933C0C">
        <w:rPr>
          <w:rFonts w:ascii="Arial" w:hAnsi="Arial" w:cs="Arial"/>
          <w:sz w:val="20"/>
          <w:szCs w:val="20"/>
        </w:rPr>
        <w:t xml:space="preserve"> für über 1 Mrd. € </w:t>
      </w:r>
      <w:r>
        <w:rPr>
          <w:rFonts w:ascii="Arial" w:hAnsi="Arial" w:cs="Arial"/>
          <w:sz w:val="20"/>
          <w:szCs w:val="20"/>
        </w:rPr>
        <w:t xml:space="preserve">hat dazu geführt, dass Mischnutzungs-Objekte (51 %) Büro-Immobilien (35 %) </w:t>
      </w:r>
      <w:r w:rsidR="00114D2A">
        <w:rPr>
          <w:rFonts w:ascii="Arial" w:hAnsi="Arial" w:cs="Arial"/>
          <w:sz w:val="20"/>
          <w:szCs w:val="20"/>
        </w:rPr>
        <w:t xml:space="preserve">im 1. Halbjahr 2021 </w:t>
      </w:r>
      <w:r>
        <w:rPr>
          <w:rFonts w:ascii="Arial" w:hAnsi="Arial" w:cs="Arial"/>
          <w:sz w:val="20"/>
          <w:szCs w:val="20"/>
        </w:rPr>
        <w:t xml:space="preserve">als stärkste </w:t>
      </w:r>
      <w:proofErr w:type="spellStart"/>
      <w:r w:rsidRPr="005B2D0D">
        <w:rPr>
          <w:rFonts w:ascii="Arial" w:hAnsi="Arial" w:cs="Arial"/>
          <w:sz w:val="20"/>
          <w:szCs w:val="20"/>
          <w:u w:val="single"/>
        </w:rPr>
        <w:t>Assetklasse</w:t>
      </w:r>
      <w:proofErr w:type="spellEnd"/>
      <w:r>
        <w:rPr>
          <w:rFonts w:ascii="Arial" w:hAnsi="Arial" w:cs="Arial"/>
          <w:sz w:val="20"/>
          <w:szCs w:val="20"/>
        </w:rPr>
        <w:t xml:space="preserve"> in der Bundeshauptstadt verdrängt haben.</w:t>
      </w:r>
    </w:p>
    <w:p w14:paraId="4B552B3F" w14:textId="5F0A1B0D" w:rsidR="00933C0C" w:rsidRDefault="00933C0C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diesen Sondereffekt hebt sich die </w:t>
      </w:r>
      <w:r w:rsidRPr="005B2D0D">
        <w:rPr>
          <w:rFonts w:ascii="Arial" w:hAnsi="Arial" w:cs="Arial"/>
          <w:sz w:val="20"/>
          <w:szCs w:val="20"/>
          <w:u w:val="single"/>
        </w:rPr>
        <w:t>Größenklasse</w:t>
      </w:r>
      <w:r>
        <w:rPr>
          <w:rFonts w:ascii="Arial" w:hAnsi="Arial" w:cs="Arial"/>
          <w:sz w:val="20"/>
          <w:szCs w:val="20"/>
        </w:rPr>
        <w:t xml:space="preserve"> ab 100 Mio. € mit einem Anteil von 74 % deutlich von den anderen Größenklassen ab.</w:t>
      </w:r>
    </w:p>
    <w:p w14:paraId="5D4C621A" w14:textId="48083D5A" w:rsidR="00933C0C" w:rsidRDefault="00000AEB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bei der Verteilung </w:t>
      </w:r>
      <w:r w:rsidR="00844D14">
        <w:rPr>
          <w:rFonts w:ascii="Arial" w:hAnsi="Arial" w:cs="Arial"/>
          <w:sz w:val="20"/>
          <w:szCs w:val="20"/>
        </w:rPr>
        <w:t xml:space="preserve">des Transaktionsvolumens </w:t>
      </w:r>
      <w:r w:rsidR="005B2D0D">
        <w:rPr>
          <w:rFonts w:ascii="Arial" w:hAnsi="Arial" w:cs="Arial"/>
          <w:sz w:val="20"/>
          <w:szCs w:val="20"/>
        </w:rPr>
        <w:t>auf die</w:t>
      </w:r>
      <w:r>
        <w:rPr>
          <w:rFonts w:ascii="Arial" w:hAnsi="Arial" w:cs="Arial"/>
          <w:sz w:val="20"/>
          <w:szCs w:val="20"/>
        </w:rPr>
        <w:t xml:space="preserve"> </w:t>
      </w:r>
      <w:r w:rsidRPr="005B2D0D">
        <w:rPr>
          <w:rFonts w:ascii="Arial" w:hAnsi="Arial" w:cs="Arial"/>
          <w:sz w:val="20"/>
          <w:szCs w:val="20"/>
          <w:u w:val="single"/>
        </w:rPr>
        <w:t>Käufergruppen</w:t>
      </w:r>
      <w:r>
        <w:rPr>
          <w:rFonts w:ascii="Arial" w:hAnsi="Arial" w:cs="Arial"/>
          <w:sz w:val="20"/>
          <w:szCs w:val="20"/>
        </w:rPr>
        <w:t xml:space="preserve"> ergibt sich unter anderem durch die „Fürst“-Transaktion ein ungewohntes Bild: Fondsmanager </w:t>
      </w:r>
      <w:r w:rsidR="00114D2A">
        <w:rPr>
          <w:rFonts w:ascii="Arial" w:hAnsi="Arial" w:cs="Arial"/>
          <w:sz w:val="20"/>
          <w:szCs w:val="20"/>
        </w:rPr>
        <w:t>führten in der ersten Jahreshälfte 2021</w:t>
      </w:r>
      <w:r w:rsidR="005B2D0D">
        <w:rPr>
          <w:rFonts w:ascii="Arial" w:hAnsi="Arial" w:cs="Arial"/>
          <w:sz w:val="20"/>
          <w:szCs w:val="20"/>
        </w:rPr>
        <w:t xml:space="preserve"> mit 57 % weit vor Projektentwickler</w:t>
      </w:r>
      <w:r w:rsidR="00844D14">
        <w:rPr>
          <w:rFonts w:ascii="Arial" w:hAnsi="Arial" w:cs="Arial"/>
          <w:sz w:val="20"/>
          <w:szCs w:val="20"/>
        </w:rPr>
        <w:t>n</w:t>
      </w:r>
      <w:r w:rsidR="005B2D0D">
        <w:rPr>
          <w:rFonts w:ascii="Arial" w:hAnsi="Arial" w:cs="Arial"/>
          <w:sz w:val="20"/>
          <w:szCs w:val="20"/>
        </w:rPr>
        <w:t xml:space="preserve"> (11 %).</w:t>
      </w:r>
    </w:p>
    <w:p w14:paraId="430BFC54" w14:textId="36C9F98A" w:rsidR="00360D71" w:rsidRDefault="005B2D0D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Stärkste</w:t>
      </w:r>
      <w:r w:rsidR="00360D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Verkäufer</w:t>
      </w:r>
      <w:r>
        <w:rPr>
          <w:rFonts w:ascii="Arial" w:hAnsi="Arial" w:cs="Arial"/>
          <w:sz w:val="20"/>
          <w:szCs w:val="20"/>
        </w:rPr>
        <w:t>gruppe bildeten Nicht-börsennotierte Immobiliengesellschaften (33 %), gefolgt von Projektentwicklern (26 %).</w:t>
      </w:r>
      <w:r w:rsidR="00360D71">
        <w:rPr>
          <w:rFonts w:ascii="Arial" w:hAnsi="Arial" w:cs="Arial"/>
          <w:sz w:val="20"/>
          <w:szCs w:val="20"/>
        </w:rPr>
        <w:t xml:space="preserve"> </w:t>
      </w:r>
    </w:p>
    <w:p w14:paraId="620ADA57" w14:textId="48C927D6" w:rsidR="005B2D0D" w:rsidRDefault="005B2D0D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Spitzenrendite für Büros gab </w:t>
      </w:r>
      <w:r w:rsidR="00114D2A">
        <w:rPr>
          <w:rFonts w:ascii="Arial" w:hAnsi="Arial" w:cs="Arial"/>
          <w:sz w:val="20"/>
          <w:szCs w:val="20"/>
        </w:rPr>
        <w:t xml:space="preserve">zum Ende des 2. Quartals 2021 </w:t>
      </w:r>
      <w:r>
        <w:rPr>
          <w:rFonts w:ascii="Arial" w:hAnsi="Arial" w:cs="Arial"/>
          <w:sz w:val="20"/>
          <w:szCs w:val="20"/>
        </w:rPr>
        <w:t>um 0,05 Prozentpunkte auf 2,65 % nach. Einen deutlichen Rückgang der Spitzenrendite verzeichneten Logistik-Immobilien mit -0,3 Prozentpunkten auf 3,5 %. Unverändert gegenüber dem Vorjahr blieb einzig die Spitzenrendite für Geschäftshäuser mit 2,8 %.</w:t>
      </w:r>
    </w:p>
    <w:p w14:paraId="7D76FF5E" w14:textId="03F9B76E" w:rsidR="005B2D0D" w:rsidRPr="009F1A62" w:rsidRDefault="00BF5FE7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Antei</w:t>
      </w:r>
      <w:r w:rsidR="00FE1A6B">
        <w:rPr>
          <w:rFonts w:ascii="Arial" w:hAnsi="Arial" w:cs="Arial"/>
          <w:sz w:val="20"/>
          <w:szCs w:val="20"/>
        </w:rPr>
        <w:t>l an internationalen Käufern war mit 60 % im 1. Halbjahr 2021</w:t>
      </w:r>
      <w:r>
        <w:rPr>
          <w:rFonts w:ascii="Arial" w:hAnsi="Arial" w:cs="Arial"/>
          <w:sz w:val="20"/>
          <w:szCs w:val="20"/>
        </w:rPr>
        <w:t xml:space="preserve"> weiterhin vergleichsweise ni</w:t>
      </w:r>
      <w:r w:rsidR="00FE1A6B">
        <w:rPr>
          <w:rFonts w:ascii="Arial" w:hAnsi="Arial" w:cs="Arial"/>
          <w:sz w:val="20"/>
          <w:szCs w:val="20"/>
        </w:rPr>
        <w:t xml:space="preserve">edrig für die Bundeshauptstadt </w:t>
      </w:r>
      <w:r w:rsidR="00D93B80">
        <w:rPr>
          <w:rFonts w:ascii="Arial" w:hAnsi="Arial" w:cs="Arial"/>
          <w:sz w:val="20"/>
          <w:szCs w:val="20"/>
        </w:rPr>
        <w:t>(Q2/2020: 74 %).</w:t>
      </w:r>
    </w:p>
    <w:p w14:paraId="0119A0C6" w14:textId="056BC1FD" w:rsidR="0086528D" w:rsidRPr="0054334C" w:rsidRDefault="0054334C" w:rsidP="005433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2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823"/>
        <w:gridCol w:w="1327"/>
      </w:tblGrid>
      <w:tr w:rsidR="00F67EAF" w:rsidRPr="006F49D0" w14:paraId="4C2432D5" w14:textId="77777777" w:rsidTr="00F67EAF">
        <w:trPr>
          <w:trHeight w:val="283"/>
        </w:trPr>
        <w:tc>
          <w:tcPr>
            <w:tcW w:w="0" w:type="auto"/>
            <w:shd w:val="clear" w:color="auto" w:fill="1F242B" w:themeFill="accent2"/>
          </w:tcPr>
          <w:p w14:paraId="4B0553A5" w14:textId="0C2D69E4" w:rsidR="00F67EAF" w:rsidRPr="004712BA" w:rsidRDefault="00F67EAF" w:rsidP="00F67EAF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 w:rsidR="00424033">
              <w:rPr>
                <w:rFonts w:ascii="Arial" w:hAnsi="Arial" w:cs="Arial"/>
                <w:b/>
                <w:sz w:val="20"/>
                <w:szCs w:val="20"/>
              </w:rPr>
              <w:t xml:space="preserve"> Berlin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1F242B" w:themeFill="accent2"/>
          </w:tcPr>
          <w:p w14:paraId="2666ADBF" w14:textId="2930FD69" w:rsidR="00F67EAF" w:rsidRPr="004712BA" w:rsidRDefault="00F67EAF" w:rsidP="00F67EAF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8457CE">
              <w:rPr>
                <w:rFonts w:ascii="Arial" w:hAnsi="Arial" w:cs="Arial"/>
                <w:b/>
                <w:sz w:val="18"/>
                <w:szCs w:val="16"/>
              </w:rPr>
              <w:t>-2</w:t>
            </w:r>
          </w:p>
        </w:tc>
      </w:tr>
      <w:tr w:rsidR="00F67EAF" w:rsidRPr="006F49D0" w14:paraId="4B06E1C6" w14:textId="77777777" w:rsidTr="00F67EAF">
        <w:trPr>
          <w:trHeight w:val="283"/>
        </w:trPr>
        <w:tc>
          <w:tcPr>
            <w:tcW w:w="3823" w:type="dxa"/>
          </w:tcPr>
          <w:p w14:paraId="23BEE2EF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D149E39" w14:textId="4AD67721" w:rsidR="00F67EAF" w:rsidRPr="000B7D28" w:rsidRDefault="008457CE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4300</w:t>
            </w:r>
          </w:p>
        </w:tc>
      </w:tr>
      <w:tr w:rsidR="00F67EAF" w:rsidRPr="006F49D0" w14:paraId="09A01916" w14:textId="77777777" w:rsidTr="00F67EAF">
        <w:trPr>
          <w:trHeight w:val="283"/>
        </w:trPr>
        <w:tc>
          <w:tcPr>
            <w:tcW w:w="3823" w:type="dxa"/>
          </w:tcPr>
          <w:p w14:paraId="62104683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56E0AC6" w14:textId="0A693D9B" w:rsidR="00F67EAF" w:rsidRPr="00BD6652" w:rsidRDefault="008457CE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+24</w:t>
            </w:r>
          </w:p>
        </w:tc>
      </w:tr>
      <w:tr w:rsidR="00F67EAF" w:rsidRPr="006F49D0" w14:paraId="225182B5" w14:textId="77777777" w:rsidTr="00F67EAF">
        <w:trPr>
          <w:trHeight w:val="283"/>
        </w:trPr>
        <w:tc>
          <w:tcPr>
            <w:tcW w:w="3823" w:type="dxa"/>
          </w:tcPr>
          <w:p w14:paraId="5DEF1B96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390224FB" w14:textId="35D33D7D" w:rsidR="00F67EAF" w:rsidRPr="000B7D28" w:rsidRDefault="00FE1A6B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</w:t>
            </w:r>
          </w:p>
        </w:tc>
      </w:tr>
      <w:tr w:rsidR="00F67EAF" w:rsidRPr="006F49D0" w14:paraId="263CDC36" w14:textId="77777777" w:rsidTr="00F67EAF">
        <w:trPr>
          <w:trHeight w:val="283"/>
        </w:trPr>
        <w:tc>
          <w:tcPr>
            <w:tcW w:w="3823" w:type="dxa"/>
          </w:tcPr>
          <w:p w14:paraId="2C102535" w14:textId="77777777" w:rsidR="00F67EAF" w:rsidRPr="00CF57D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027038BA" w14:textId="73CDCEAB" w:rsidR="00F67EAF" w:rsidRPr="000B7D28" w:rsidRDefault="008457CE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</w:tr>
      <w:tr w:rsidR="00F67EAF" w:rsidRPr="006F49D0" w14:paraId="6E4FA2FB" w14:textId="77777777" w:rsidTr="00F67EAF">
        <w:trPr>
          <w:trHeight w:val="283"/>
        </w:trPr>
        <w:tc>
          <w:tcPr>
            <w:tcW w:w="3823" w:type="dxa"/>
          </w:tcPr>
          <w:p w14:paraId="07D8D6A5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4AF25F3" w14:textId="606E8B81" w:rsidR="00F67EAF" w:rsidRPr="000B7D28" w:rsidRDefault="008457CE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2,65</w:t>
            </w:r>
          </w:p>
        </w:tc>
      </w:tr>
      <w:tr w:rsidR="00F67EAF" w14:paraId="54D1641E" w14:textId="77777777" w:rsidTr="00F67EAF">
        <w:trPr>
          <w:trHeight w:val="283"/>
        </w:trPr>
        <w:tc>
          <w:tcPr>
            <w:tcW w:w="3823" w:type="dxa"/>
          </w:tcPr>
          <w:p w14:paraId="002C70DF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3F2CDE3" w14:textId="1D687DA6" w:rsidR="00F67EAF" w:rsidRPr="000B7D28" w:rsidRDefault="00932BAE" w:rsidP="009750A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-0</w:t>
            </w:r>
            <w:r w:rsidR="00F67EAF" w:rsidRPr="000B7D28">
              <w:rPr>
                <w:rFonts w:ascii="Arial" w:hAnsi="Arial" w:cs="Arial"/>
                <w:sz w:val="18"/>
                <w:szCs w:val="16"/>
              </w:rPr>
              <w:t>,</w:t>
            </w:r>
            <w:r w:rsidR="00424033">
              <w:rPr>
                <w:rFonts w:ascii="Arial" w:hAnsi="Arial" w:cs="Arial"/>
                <w:sz w:val="18"/>
                <w:szCs w:val="16"/>
              </w:rPr>
              <w:t>0</w:t>
            </w: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</w:tr>
      <w:tr w:rsidR="00F67EAF" w:rsidRPr="006F49D0" w14:paraId="108BDDCF" w14:textId="77777777" w:rsidTr="00F67EAF">
        <w:trPr>
          <w:trHeight w:val="283"/>
        </w:trPr>
        <w:tc>
          <w:tcPr>
            <w:tcW w:w="3823" w:type="dxa"/>
          </w:tcPr>
          <w:p w14:paraId="7FFAB547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50095197" w14:textId="7FA13006" w:rsidR="00F67EAF" w:rsidRPr="000B7D28" w:rsidRDefault="00424033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2,8</w:t>
            </w:r>
            <w:r w:rsidR="00F67EAF"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F67EAF" w14:paraId="12487751" w14:textId="77777777" w:rsidTr="00F67EAF">
        <w:trPr>
          <w:trHeight w:val="283"/>
        </w:trPr>
        <w:tc>
          <w:tcPr>
            <w:tcW w:w="3823" w:type="dxa"/>
          </w:tcPr>
          <w:p w14:paraId="60C8FA68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193B4811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F67EAF" w:rsidRPr="006F49D0" w14:paraId="3684343E" w14:textId="77777777" w:rsidTr="00F67EAF">
        <w:trPr>
          <w:trHeight w:val="283"/>
        </w:trPr>
        <w:tc>
          <w:tcPr>
            <w:tcW w:w="3823" w:type="dxa"/>
          </w:tcPr>
          <w:p w14:paraId="01160851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4549AD25" w14:textId="456D3754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Pr="000B7D28">
              <w:rPr>
                <w:rFonts w:ascii="Arial" w:hAnsi="Arial" w:cs="Arial"/>
                <w:sz w:val="18"/>
                <w:szCs w:val="16"/>
              </w:rPr>
              <w:t>,</w:t>
            </w:r>
            <w:r w:rsidR="00424033">
              <w:rPr>
                <w:rFonts w:ascii="Arial" w:hAnsi="Arial" w:cs="Arial"/>
                <w:sz w:val="18"/>
                <w:szCs w:val="16"/>
              </w:rPr>
              <w:t>5</w:t>
            </w:r>
          </w:p>
        </w:tc>
      </w:tr>
      <w:tr w:rsidR="00F67EAF" w14:paraId="1AE6011C" w14:textId="77777777" w:rsidTr="00F67EAF">
        <w:trPr>
          <w:trHeight w:val="283"/>
        </w:trPr>
        <w:tc>
          <w:tcPr>
            <w:tcW w:w="3823" w:type="dxa"/>
          </w:tcPr>
          <w:p w14:paraId="08D4FEA0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E38FA44" w14:textId="0B57D025" w:rsidR="00F67EAF" w:rsidRPr="000B7D28" w:rsidRDefault="00F67EAF" w:rsidP="009750A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-</w:t>
            </w:r>
            <w:r w:rsidR="009750A4">
              <w:rPr>
                <w:rFonts w:ascii="Arial" w:hAnsi="Arial" w:cs="Arial"/>
                <w:sz w:val="18"/>
                <w:szCs w:val="16"/>
              </w:rPr>
              <w:t>0</w:t>
            </w:r>
            <w:r w:rsidR="00932BAE">
              <w:rPr>
                <w:rFonts w:ascii="Arial" w:hAnsi="Arial" w:cs="Arial"/>
                <w:sz w:val="18"/>
                <w:szCs w:val="16"/>
              </w:rPr>
              <w:t>,3</w:t>
            </w:r>
          </w:p>
        </w:tc>
      </w:tr>
      <w:tr w:rsidR="00F67EAF" w:rsidRPr="006F49D0" w14:paraId="73476F27" w14:textId="77777777" w:rsidTr="00F67EAF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04C55323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130F87" w14:textId="645E2ADB" w:rsidR="00F67EAF" w:rsidRPr="000B7D28" w:rsidRDefault="00932BAE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Mischnutzung</w:t>
            </w:r>
          </w:p>
        </w:tc>
      </w:tr>
      <w:tr w:rsidR="00F67EAF" w:rsidRPr="006F49D0" w14:paraId="4FA2101A" w14:textId="77777777" w:rsidTr="00F67EAF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16802574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299766" w14:textId="3A057B09" w:rsidR="00F67EAF" w:rsidRPr="000B7D28" w:rsidRDefault="00932BAE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51</w:t>
            </w:r>
          </w:p>
        </w:tc>
      </w:tr>
    </w:tbl>
    <w:p w14:paraId="7AFFF209" w14:textId="4F97FDA0" w:rsidR="000A5ED1" w:rsidRPr="00B26FFD" w:rsidRDefault="000A4113" w:rsidP="0062200D">
      <w:pPr>
        <w:spacing w:after="0" w:line="360" w:lineRule="auto"/>
        <w:ind w:left="68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F0964C5" wp14:editId="19C2612A">
            <wp:simplePos x="0" y="0"/>
            <wp:positionH relativeFrom="margin">
              <wp:posOffset>3547110</wp:posOffset>
            </wp:positionH>
            <wp:positionV relativeFrom="margin">
              <wp:posOffset>66675</wp:posOffset>
            </wp:positionV>
            <wp:extent cx="2880000" cy="2030400"/>
            <wp:effectExtent l="19050" t="19050" r="15875" b="27305"/>
            <wp:wrapSquare wrapText="bothSides"/>
            <wp:docPr id="2" name="Grafik 2" descr="C:\Users\bfr\AppData\Local\Microsoft\Windows\INetCache\Content.Word\TAV_Berlin_2017-2021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fr\AppData\Local\Microsoft\Windows\INetCache\Content.Word\TAV_Berlin_2017-2021Q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53CCE" w14:textId="31CF4809" w:rsidR="000A5ED1" w:rsidRDefault="000A5ED1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2EEA5946" w14:textId="77777777" w:rsidR="0054334C" w:rsidRDefault="0054334C" w:rsidP="004E7F0F">
      <w:pPr>
        <w:rPr>
          <w:rFonts w:ascii="Arial" w:hAnsi="Arial" w:cs="Arial"/>
          <w:b/>
          <w:sz w:val="20"/>
          <w:szCs w:val="20"/>
        </w:rPr>
      </w:pPr>
    </w:p>
    <w:p w14:paraId="513CABD7" w14:textId="4A2EAF88" w:rsidR="004E7F0F" w:rsidRPr="0054334C" w:rsidRDefault="004E7F0F" w:rsidP="005433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bekannte Top-Transaktionen | Investmentmarkt </w:t>
      </w:r>
      <w:r w:rsidR="00424033">
        <w:rPr>
          <w:rFonts w:ascii="Arial" w:hAnsi="Arial" w:cs="Arial"/>
          <w:b/>
          <w:sz w:val="20"/>
          <w:szCs w:val="20"/>
        </w:rPr>
        <w:t>Berlin</w:t>
      </w:r>
      <w:r>
        <w:rPr>
          <w:rFonts w:ascii="Arial" w:hAnsi="Arial" w:cs="Arial"/>
          <w:b/>
          <w:sz w:val="20"/>
          <w:szCs w:val="20"/>
        </w:rPr>
        <w:t xml:space="preserve"> | 1.</w:t>
      </w:r>
      <w:r w:rsidR="008457CE">
        <w:rPr>
          <w:rFonts w:ascii="Arial" w:hAnsi="Arial" w:cs="Arial"/>
          <w:b/>
          <w:sz w:val="20"/>
          <w:szCs w:val="20"/>
        </w:rPr>
        <w:t>-2.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2021</w:t>
      </w:r>
    </w:p>
    <w:tbl>
      <w:tblPr>
        <w:tblStyle w:val="TableGrid1"/>
        <w:tblpPr w:leftFromText="141" w:rightFromText="141" w:vertAnchor="text" w:horzAnchor="margin" w:tblpY="71"/>
        <w:tblW w:w="10154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984"/>
        <w:gridCol w:w="2221"/>
        <w:gridCol w:w="1134"/>
      </w:tblGrid>
      <w:tr w:rsidR="0054334C" w:rsidRPr="006F49D0" w14:paraId="3052B16C" w14:textId="77777777" w:rsidTr="0054334C">
        <w:trPr>
          <w:trHeight w:val="567"/>
        </w:trPr>
        <w:tc>
          <w:tcPr>
            <w:tcW w:w="2263" w:type="dxa"/>
            <w:shd w:val="clear" w:color="auto" w:fill="1F242B" w:themeFill="accent2"/>
            <w:vAlign w:val="center"/>
          </w:tcPr>
          <w:p w14:paraId="099BBF07" w14:textId="77777777" w:rsidR="0054334C" w:rsidRDefault="0054334C" w:rsidP="0054334C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Objekt</w:t>
            </w:r>
          </w:p>
          <w:p w14:paraId="36FC1BAD" w14:textId="77777777" w:rsidR="0054334C" w:rsidRPr="00C626E7" w:rsidRDefault="0054334C" w:rsidP="0054334C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Straße Nr. </w:t>
            </w:r>
          </w:p>
        </w:tc>
        <w:tc>
          <w:tcPr>
            <w:tcW w:w="1418" w:type="dxa"/>
            <w:shd w:val="clear" w:color="auto" w:fill="1F242B" w:themeFill="accent2"/>
          </w:tcPr>
          <w:p w14:paraId="00BE952B" w14:textId="77777777" w:rsidR="0054334C" w:rsidRPr="009F10F1" w:rsidRDefault="0054334C" w:rsidP="0054334C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1134" w:type="dxa"/>
            <w:shd w:val="clear" w:color="auto" w:fill="1F242B" w:themeFill="accent2"/>
          </w:tcPr>
          <w:p w14:paraId="2A6D3384" w14:textId="77777777" w:rsidR="0054334C" w:rsidRPr="009F10F1" w:rsidRDefault="0054334C" w:rsidP="0054334C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1984" w:type="dxa"/>
            <w:shd w:val="clear" w:color="auto" w:fill="1F242B" w:themeFill="accent2"/>
            <w:vAlign w:val="center"/>
          </w:tcPr>
          <w:p w14:paraId="3A5E1ED4" w14:textId="77777777" w:rsidR="0054334C" w:rsidRPr="00351DE2" w:rsidRDefault="0054334C" w:rsidP="0054334C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51DE2">
              <w:rPr>
                <w:rFonts w:ascii="Arial" w:hAnsi="Arial" w:cs="Arial"/>
                <w:b/>
                <w:sz w:val="18"/>
                <w:szCs w:val="18"/>
              </w:rPr>
              <w:t>Käufer</w:t>
            </w:r>
          </w:p>
        </w:tc>
        <w:tc>
          <w:tcPr>
            <w:tcW w:w="2221" w:type="dxa"/>
            <w:shd w:val="clear" w:color="auto" w:fill="1F242B" w:themeFill="accent2"/>
            <w:vAlign w:val="center"/>
          </w:tcPr>
          <w:p w14:paraId="47D1821F" w14:textId="77777777" w:rsidR="0054334C" w:rsidRPr="00351DE2" w:rsidRDefault="0054334C" w:rsidP="0054334C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51DE2">
              <w:rPr>
                <w:rFonts w:ascii="Arial" w:hAnsi="Arial" w:cs="Arial"/>
                <w:b/>
                <w:sz w:val="18"/>
                <w:szCs w:val="18"/>
              </w:rPr>
              <w:t>Verkäufer</w:t>
            </w:r>
          </w:p>
        </w:tc>
        <w:tc>
          <w:tcPr>
            <w:tcW w:w="1134" w:type="dxa"/>
            <w:shd w:val="clear" w:color="auto" w:fill="1F242B" w:themeFill="accent2"/>
            <w:vAlign w:val="center"/>
          </w:tcPr>
          <w:p w14:paraId="4B79ABFD" w14:textId="77777777" w:rsidR="0054334C" w:rsidRPr="009F10F1" w:rsidRDefault="0054334C" w:rsidP="0054334C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15C7E2C1" w14:textId="77777777" w:rsidR="0054334C" w:rsidRPr="009F10F1" w:rsidRDefault="0054334C" w:rsidP="0054334C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54334C" w:rsidRPr="00F2414C" w14:paraId="0D9A236F" w14:textId="77777777" w:rsidTr="0054334C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6D559F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 xml:space="preserve">„Fürst“, </w:t>
            </w:r>
          </w:p>
          <w:p w14:paraId="507AA959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Kurfürstendamm 206-209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CBFAD74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Ku’damm</w:t>
            </w:r>
            <w:proofErr w:type="spellEnd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plus </w:t>
            </w: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Seitenstr</w:t>
            </w:r>
            <w:proofErr w:type="spellEnd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6DE0C2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Misch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nutzung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542D00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Aggregate Holdings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724F0727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C4584">
              <w:rPr>
                <w:rFonts w:ascii="Arial" w:hAnsi="Arial" w:cs="Arial"/>
                <w:sz w:val="18"/>
                <w:szCs w:val="18"/>
              </w:rPr>
              <w:t>Vivion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D25F2D" w14:textId="77777777" w:rsidR="0054334C" w:rsidRPr="002C4584" w:rsidRDefault="0054334C" w:rsidP="0054334C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</w:rPr>
              <w:t>&gt;1.000</w:t>
            </w:r>
          </w:p>
        </w:tc>
      </w:tr>
      <w:tr w:rsidR="0054334C" w:rsidRPr="00F2414C" w14:paraId="06E75E5C" w14:textId="77777777" w:rsidTr="0054334C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D4E03E2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„Quartier 206“,</w:t>
            </w:r>
          </w:p>
          <w:p w14:paraId="64F7D588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Friedrichstraße 71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2C7B9EC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Mitte</w:t>
            </w:r>
            <w:proofErr w:type="spellEnd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1a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343B59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Misch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nutzung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D58A0A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RFR Holding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7C1D911F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 xml:space="preserve">Bankenkonsortium um </w:t>
            </w:r>
            <w:proofErr w:type="spellStart"/>
            <w:r w:rsidRPr="002C4584">
              <w:rPr>
                <w:rFonts w:ascii="Arial" w:hAnsi="Arial" w:cs="Arial"/>
                <w:sz w:val="18"/>
                <w:szCs w:val="18"/>
              </w:rPr>
              <w:t>Credit</w:t>
            </w:r>
            <w:proofErr w:type="spellEnd"/>
            <w:r w:rsidRPr="002C4584">
              <w:rPr>
                <w:rFonts w:ascii="Arial" w:hAnsi="Arial" w:cs="Arial"/>
                <w:sz w:val="18"/>
                <w:szCs w:val="18"/>
              </w:rPr>
              <w:t xml:space="preserve"> Suisse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555D42" w14:textId="77777777" w:rsidR="0054334C" w:rsidRPr="002C4584" w:rsidRDefault="0054334C" w:rsidP="0054334C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</w:rPr>
              <w:t>220</w:t>
            </w:r>
          </w:p>
        </w:tc>
      </w:tr>
      <w:tr w:rsidR="0054334C" w:rsidRPr="00F2414C" w14:paraId="7098D071" w14:textId="77777777" w:rsidTr="0054334C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1B976E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Landsberger Allee 52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8D5704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Friedrichshain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4FF843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F40AF1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Values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325488E8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Centrum Grundstücksgesellschaft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14FF73" w14:textId="77777777" w:rsidR="0054334C" w:rsidRPr="002C4584" w:rsidRDefault="0054334C" w:rsidP="0054334C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</w:rPr>
              <w:t>200</w:t>
            </w:r>
          </w:p>
        </w:tc>
      </w:tr>
      <w:tr w:rsidR="0054334C" w:rsidRPr="00F2414C" w14:paraId="77A060C7" w14:textId="77777777" w:rsidTr="0054334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31816E05" w14:textId="77777777" w:rsidR="0054334C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„Alte Post“,</w:t>
            </w:r>
          </w:p>
          <w:p w14:paraId="4D66901B" w14:textId="77777777" w:rsidR="0054334C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Karl-Marx-Straße 97-99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330ED" w14:textId="77777777" w:rsidR="0054334C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Peripherie-Süd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F68DB1F" w14:textId="77777777" w:rsidR="0054334C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Industrie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Gewerbe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4AB2B2C" w14:textId="77777777" w:rsidR="0054334C" w:rsidRPr="00351DE2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1DE2">
              <w:rPr>
                <w:rFonts w:ascii="Arial" w:hAnsi="Arial" w:cs="Arial"/>
                <w:sz w:val="18"/>
                <w:szCs w:val="18"/>
              </w:rPr>
              <w:t>Ivanhoé</w:t>
            </w:r>
            <w:proofErr w:type="spellEnd"/>
            <w:r w:rsidRPr="00351DE2">
              <w:rPr>
                <w:rFonts w:ascii="Arial" w:hAnsi="Arial" w:cs="Arial"/>
                <w:sz w:val="18"/>
                <w:szCs w:val="18"/>
              </w:rPr>
              <w:t xml:space="preserve"> Cambridge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5A41AF0" w14:textId="77777777" w:rsidR="0054334C" w:rsidRPr="00351DE2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1DE2">
              <w:rPr>
                <w:rFonts w:ascii="Arial" w:hAnsi="Arial" w:cs="Arial"/>
                <w:sz w:val="18"/>
                <w:szCs w:val="18"/>
              </w:rPr>
              <w:t>Commodus Real Estate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A4EDE" w14:textId="77777777" w:rsidR="0054334C" w:rsidRDefault="0054334C" w:rsidP="0054334C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  <w:tr w:rsidR="0054334C" w:rsidRPr="006F49D0" w14:paraId="4F1170A2" w14:textId="77777777" w:rsidTr="0054334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5EADB318" w14:textId="77777777" w:rsidR="0054334C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Nike,</w:t>
            </w:r>
          </w:p>
          <w:p w14:paraId="48BC82D9" w14:textId="77777777" w:rsidR="0054334C" w:rsidRPr="0061138B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Warschauer Straße 70a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4A497" w14:textId="77777777" w:rsidR="0054334C" w:rsidRPr="0061138B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Friedrichshain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ADB97" w14:textId="77777777" w:rsidR="0054334C" w:rsidRPr="0061138B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A72C89" w14:textId="77777777" w:rsidR="0054334C" w:rsidRPr="0061138B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 I.S. für Spezialfonds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E647E46" w14:textId="77777777" w:rsidR="0054334C" w:rsidRPr="0061138B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Patrizia Deutschland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D4309" w14:textId="77777777" w:rsidR="0054334C" w:rsidRPr="0061138B" w:rsidRDefault="0054334C" w:rsidP="0054334C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</w:tbl>
    <w:p w14:paraId="16439DC7" w14:textId="77777777" w:rsidR="0054334C" w:rsidRDefault="0054334C" w:rsidP="0054334C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>
        <w:rPr>
          <w:rFonts w:ascii="Arial" w:hAnsi="Arial" w:cs="Arial"/>
          <w:sz w:val="16"/>
          <w:szCs w:val="16"/>
        </w:rPr>
        <w:t>; neue Deals/Deals aus jeweiligem Berichtsquartal sind grau hinterlegt</w:t>
      </w:r>
    </w:p>
    <w:p w14:paraId="1D1DA908" w14:textId="77777777" w:rsidR="0054334C" w:rsidRDefault="0054334C" w:rsidP="004E7F0F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F993A3D" w14:textId="0080318C" w:rsidR="004E7F0F" w:rsidRPr="00897DBE" w:rsidRDefault="004E7F0F" w:rsidP="004E7F0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hyperlink r:id="rId9" w:history="1">
        <w:r w:rsidR="00351DE2" w:rsidRPr="00DC46A8">
          <w:rPr>
            <w:rStyle w:val="Hyperlink"/>
            <w:rFonts w:ascii="Arial" w:eastAsia="Arial" w:hAnsi="Arial" w:cs="Arial"/>
            <w:sz w:val="20"/>
            <w:szCs w:val="20"/>
          </w:rPr>
          <w:t>Investment-Marktbericht Berlin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r w:rsidRPr="0062200D">
        <w:rPr>
          <w:rFonts w:ascii="Arial" w:eastAsia="Arial" w:hAnsi="Arial" w:cs="Arial"/>
          <w:sz w:val="20"/>
          <w:szCs w:val="20"/>
        </w:rPr>
        <w:t>Website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bereit.</w:t>
      </w:r>
    </w:p>
    <w:p w14:paraId="545BF58C" w14:textId="77777777" w:rsidR="004E7F0F" w:rsidRDefault="004E7F0F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716DD88D" w14:textId="77777777" w:rsidR="00CB00A5" w:rsidRPr="0090748B" w:rsidRDefault="00CB00A5" w:rsidP="00CB00A5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1E199D66" w14:textId="77777777" w:rsidR="00CB00A5" w:rsidRPr="004A6CA8" w:rsidRDefault="00CB00A5" w:rsidP="00CB00A5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4A6CA8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4A6CA8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4A6CA8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4A6CA8">
        <w:rPr>
          <w:rFonts w:ascii="Arial" w:hAnsi="Arial" w:cs="Arial"/>
          <w:sz w:val="16"/>
          <w:szCs w:val="16"/>
        </w:rPr>
        <w:t xml:space="preserve"> (GPP).</w:t>
      </w:r>
    </w:p>
    <w:p w14:paraId="57B8156A" w14:textId="77777777" w:rsidR="00CB00A5" w:rsidRPr="004A6CA8" w:rsidRDefault="00CB00A5" w:rsidP="00CB00A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A6CA8">
        <w:rPr>
          <w:rFonts w:ascii="Arial" w:hAnsi="Arial" w:cs="Arial"/>
          <w:sz w:val="16"/>
          <w:szCs w:val="16"/>
        </w:rPr>
        <w:t xml:space="preserve"> </w:t>
      </w:r>
    </w:p>
    <w:p w14:paraId="4C1A68A9" w14:textId="77777777" w:rsidR="00CB00A5" w:rsidRPr="00583E25" w:rsidRDefault="00CB00A5" w:rsidP="00CB00A5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C2DFD7A" w14:textId="77777777" w:rsidR="00CB00A5" w:rsidRPr="00503D8C" w:rsidRDefault="00CB00A5" w:rsidP="00CB00A5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proofErr w:type="spellStart"/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  <w:proofErr w:type="spellEnd"/>
      </w:hyperlink>
      <w:r>
        <w:rPr>
          <w:rFonts w:ascii="Arial" w:hAnsi="Arial" w:cs="Arial"/>
          <w:sz w:val="16"/>
          <w:szCs w:val="16"/>
        </w:rPr>
        <w:t xml:space="preserve"> mit dem Betreff „Abmeldung aus Presseverteiler“.</w:t>
      </w:r>
    </w:p>
    <w:p w14:paraId="51C1AA4D" w14:textId="1F9BAED5" w:rsidR="00046FEC" w:rsidRPr="00FD140F" w:rsidRDefault="00046FEC" w:rsidP="004E7F0F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046FEC" w:rsidRPr="00FD140F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206C9" w14:textId="77777777" w:rsidR="0079178A" w:rsidRDefault="0079178A">
      <w:r>
        <w:separator/>
      </w:r>
    </w:p>
  </w:endnote>
  <w:endnote w:type="continuationSeparator" w:id="0">
    <w:p w14:paraId="1D9CBAE3" w14:textId="77777777" w:rsidR="0079178A" w:rsidRDefault="0079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A14304B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D6652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 xml:space="preserve">20354 Hamburg | Tel. +49 (0)40/350 80 2-0 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www.grossmann-berger.de</w:t>
    </w:r>
    <w:proofErr w:type="spellEnd"/>
  </w:p>
  <w:p w14:paraId="5440A7EF" w14:textId="69933B2F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700DB0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700DB0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5540" w14:textId="77777777" w:rsidR="0079178A" w:rsidRDefault="0079178A">
      <w:r>
        <w:separator/>
      </w:r>
    </w:p>
  </w:footnote>
  <w:footnote w:type="continuationSeparator" w:id="0">
    <w:p w14:paraId="45A6BE40" w14:textId="77777777" w:rsidR="0079178A" w:rsidRDefault="0079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1353DA7E" w:rsidR="006138CB" w:rsidRPr="009E3ADA" w:rsidRDefault="003E27B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1C8E7" wp14:editId="565DED62">
              <wp:simplePos x="0" y="0"/>
              <wp:positionH relativeFrom="margin">
                <wp:posOffset>-74930</wp:posOffset>
              </wp:positionH>
              <wp:positionV relativeFrom="paragraph">
                <wp:posOffset>42530</wp:posOffset>
              </wp:positionV>
              <wp:extent cx="4779010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3728" w14:textId="6E9C7BA2" w:rsidR="003E27B4" w:rsidRDefault="003E27B4" w:rsidP="003E27B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620 | </w:t>
                          </w:r>
                          <w:proofErr w:type="spellStart"/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C8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9pt;margin-top:3.35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" filled="f" stroked="f">
              <v:textbox>
                <w:txbxContent>
                  <w:p w14:paraId="49DF3728" w14:textId="6E9C7BA2" w:rsidR="003E27B4" w:rsidRDefault="003E27B4" w:rsidP="003E27B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>620 | 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61381213" w:rsidR="00D83CB7" w:rsidRDefault="00CE7D1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EA495" wp14:editId="55D8E217">
              <wp:simplePos x="0" y="0"/>
              <wp:positionH relativeFrom="margin">
                <wp:posOffset>-92267</wp:posOffset>
              </wp:positionH>
              <wp:positionV relativeFrom="paragraph">
                <wp:posOffset>9525</wp:posOffset>
              </wp:positionV>
              <wp:extent cx="4779010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AEDD" w14:textId="7B988460" w:rsidR="00CE7D16" w:rsidRDefault="00CE7D16" w:rsidP="00CE7D1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A49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25pt;margin-top:.75pt;width:376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" filled="f" stroked="f">
              <v:textbox>
                <w:txbxContent>
                  <w:p w14:paraId="296CAEDD" w14:textId="7B988460" w:rsidR="00CE7D16" w:rsidRDefault="00CE7D16" w:rsidP="00CE7D1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>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>620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A2E2B"/>
    <w:multiLevelType w:val="hybridMultilevel"/>
    <w:tmpl w:val="8C66C3F0"/>
    <w:lvl w:ilvl="0" w:tplc="B84AA82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0AEB"/>
    <w:rsid w:val="0000392D"/>
    <w:rsid w:val="000159FE"/>
    <w:rsid w:val="00022F16"/>
    <w:rsid w:val="00023D78"/>
    <w:rsid w:val="00027644"/>
    <w:rsid w:val="0003075C"/>
    <w:rsid w:val="00034842"/>
    <w:rsid w:val="000418C7"/>
    <w:rsid w:val="00046FEC"/>
    <w:rsid w:val="00060743"/>
    <w:rsid w:val="000615E2"/>
    <w:rsid w:val="000623C0"/>
    <w:rsid w:val="00064A03"/>
    <w:rsid w:val="00064CAC"/>
    <w:rsid w:val="00066796"/>
    <w:rsid w:val="0006773E"/>
    <w:rsid w:val="00075002"/>
    <w:rsid w:val="000766D7"/>
    <w:rsid w:val="0007670A"/>
    <w:rsid w:val="00080F27"/>
    <w:rsid w:val="00081461"/>
    <w:rsid w:val="000834E2"/>
    <w:rsid w:val="00087A17"/>
    <w:rsid w:val="000A4113"/>
    <w:rsid w:val="000A517C"/>
    <w:rsid w:val="000A5ED1"/>
    <w:rsid w:val="000A6AE3"/>
    <w:rsid w:val="000A72C3"/>
    <w:rsid w:val="000B0335"/>
    <w:rsid w:val="000B1606"/>
    <w:rsid w:val="000B3315"/>
    <w:rsid w:val="000B3A6C"/>
    <w:rsid w:val="000B7D28"/>
    <w:rsid w:val="000C3A7A"/>
    <w:rsid w:val="000C74B2"/>
    <w:rsid w:val="000C770D"/>
    <w:rsid w:val="000D48D4"/>
    <w:rsid w:val="000D7F9A"/>
    <w:rsid w:val="000E03F3"/>
    <w:rsid w:val="000E49CB"/>
    <w:rsid w:val="000E7BC7"/>
    <w:rsid w:val="000F5742"/>
    <w:rsid w:val="0010158E"/>
    <w:rsid w:val="001029C4"/>
    <w:rsid w:val="00111400"/>
    <w:rsid w:val="0011486D"/>
    <w:rsid w:val="00114D2A"/>
    <w:rsid w:val="00117D5D"/>
    <w:rsid w:val="00117EF7"/>
    <w:rsid w:val="00121E33"/>
    <w:rsid w:val="00126550"/>
    <w:rsid w:val="00127DF7"/>
    <w:rsid w:val="001324D6"/>
    <w:rsid w:val="00132522"/>
    <w:rsid w:val="00135BD2"/>
    <w:rsid w:val="00135E09"/>
    <w:rsid w:val="00143320"/>
    <w:rsid w:val="00154825"/>
    <w:rsid w:val="0017364E"/>
    <w:rsid w:val="0017516B"/>
    <w:rsid w:val="00176F1D"/>
    <w:rsid w:val="0018068D"/>
    <w:rsid w:val="00180801"/>
    <w:rsid w:val="001871BC"/>
    <w:rsid w:val="001A2ABE"/>
    <w:rsid w:val="001A360C"/>
    <w:rsid w:val="001B577C"/>
    <w:rsid w:val="001C0A59"/>
    <w:rsid w:val="001D14DA"/>
    <w:rsid w:val="001D43BB"/>
    <w:rsid w:val="001D645F"/>
    <w:rsid w:val="001D64B8"/>
    <w:rsid w:val="001E1172"/>
    <w:rsid w:val="001E6995"/>
    <w:rsid w:val="001F1513"/>
    <w:rsid w:val="001F1ECE"/>
    <w:rsid w:val="001F3C3A"/>
    <w:rsid w:val="0020062D"/>
    <w:rsid w:val="00201E4A"/>
    <w:rsid w:val="00205769"/>
    <w:rsid w:val="00212FEC"/>
    <w:rsid w:val="002131BB"/>
    <w:rsid w:val="00213F07"/>
    <w:rsid w:val="00214952"/>
    <w:rsid w:val="0022086D"/>
    <w:rsid w:val="00227E31"/>
    <w:rsid w:val="00230F81"/>
    <w:rsid w:val="002341EE"/>
    <w:rsid w:val="002353AA"/>
    <w:rsid w:val="00237341"/>
    <w:rsid w:val="00241526"/>
    <w:rsid w:val="00242D24"/>
    <w:rsid w:val="002462B6"/>
    <w:rsid w:val="00251FC5"/>
    <w:rsid w:val="00252F40"/>
    <w:rsid w:val="00253412"/>
    <w:rsid w:val="00254C6F"/>
    <w:rsid w:val="002550BA"/>
    <w:rsid w:val="00255679"/>
    <w:rsid w:val="0027266B"/>
    <w:rsid w:val="00274734"/>
    <w:rsid w:val="00277361"/>
    <w:rsid w:val="00281E80"/>
    <w:rsid w:val="002834B0"/>
    <w:rsid w:val="00283671"/>
    <w:rsid w:val="00284A5D"/>
    <w:rsid w:val="00284E27"/>
    <w:rsid w:val="00294B7D"/>
    <w:rsid w:val="002A1973"/>
    <w:rsid w:val="002A59CD"/>
    <w:rsid w:val="002B14F6"/>
    <w:rsid w:val="002B7C7F"/>
    <w:rsid w:val="002C055A"/>
    <w:rsid w:val="002C2392"/>
    <w:rsid w:val="002C450A"/>
    <w:rsid w:val="002C4584"/>
    <w:rsid w:val="002D19FA"/>
    <w:rsid w:val="002D1C5C"/>
    <w:rsid w:val="002D1E20"/>
    <w:rsid w:val="002E2A92"/>
    <w:rsid w:val="002E6860"/>
    <w:rsid w:val="002F0411"/>
    <w:rsid w:val="002F767E"/>
    <w:rsid w:val="00301F3A"/>
    <w:rsid w:val="003044F7"/>
    <w:rsid w:val="00304D7A"/>
    <w:rsid w:val="003079E3"/>
    <w:rsid w:val="00313876"/>
    <w:rsid w:val="003246F0"/>
    <w:rsid w:val="00325E2A"/>
    <w:rsid w:val="00326066"/>
    <w:rsid w:val="00326349"/>
    <w:rsid w:val="003272F3"/>
    <w:rsid w:val="003372CA"/>
    <w:rsid w:val="0034064A"/>
    <w:rsid w:val="00345716"/>
    <w:rsid w:val="00346814"/>
    <w:rsid w:val="0034786C"/>
    <w:rsid w:val="00347A18"/>
    <w:rsid w:val="00350D85"/>
    <w:rsid w:val="00351477"/>
    <w:rsid w:val="003517C9"/>
    <w:rsid w:val="00351DCD"/>
    <w:rsid w:val="00351DE2"/>
    <w:rsid w:val="0035408E"/>
    <w:rsid w:val="00357EC4"/>
    <w:rsid w:val="00360D71"/>
    <w:rsid w:val="003627E1"/>
    <w:rsid w:val="00365AF8"/>
    <w:rsid w:val="00370000"/>
    <w:rsid w:val="00373507"/>
    <w:rsid w:val="0038230E"/>
    <w:rsid w:val="00382529"/>
    <w:rsid w:val="0038350F"/>
    <w:rsid w:val="00396CE0"/>
    <w:rsid w:val="003A00C9"/>
    <w:rsid w:val="003A25A4"/>
    <w:rsid w:val="003B19F4"/>
    <w:rsid w:val="003B49E4"/>
    <w:rsid w:val="003B4CCF"/>
    <w:rsid w:val="003B6CD4"/>
    <w:rsid w:val="003C1693"/>
    <w:rsid w:val="003C5218"/>
    <w:rsid w:val="003C6AB4"/>
    <w:rsid w:val="003E099F"/>
    <w:rsid w:val="003E27B4"/>
    <w:rsid w:val="003E4DF9"/>
    <w:rsid w:val="003F1A91"/>
    <w:rsid w:val="003F665D"/>
    <w:rsid w:val="003F7E7E"/>
    <w:rsid w:val="0040086D"/>
    <w:rsid w:val="004017D8"/>
    <w:rsid w:val="00405D59"/>
    <w:rsid w:val="00411E03"/>
    <w:rsid w:val="004123B1"/>
    <w:rsid w:val="00417F4D"/>
    <w:rsid w:val="00424033"/>
    <w:rsid w:val="004269AC"/>
    <w:rsid w:val="00426E13"/>
    <w:rsid w:val="004303A1"/>
    <w:rsid w:val="00440DC9"/>
    <w:rsid w:val="004450C4"/>
    <w:rsid w:val="00445DF9"/>
    <w:rsid w:val="004506D2"/>
    <w:rsid w:val="00456F40"/>
    <w:rsid w:val="004609BD"/>
    <w:rsid w:val="004661EE"/>
    <w:rsid w:val="00466741"/>
    <w:rsid w:val="00470064"/>
    <w:rsid w:val="0047198B"/>
    <w:rsid w:val="004818CE"/>
    <w:rsid w:val="00484D17"/>
    <w:rsid w:val="004966E3"/>
    <w:rsid w:val="004A2BEA"/>
    <w:rsid w:val="004A3C64"/>
    <w:rsid w:val="004A5AEA"/>
    <w:rsid w:val="004B2694"/>
    <w:rsid w:val="004B2FDA"/>
    <w:rsid w:val="004B480A"/>
    <w:rsid w:val="004B5A6D"/>
    <w:rsid w:val="004C0CA2"/>
    <w:rsid w:val="004D50C0"/>
    <w:rsid w:val="004D772A"/>
    <w:rsid w:val="004E339B"/>
    <w:rsid w:val="004E4273"/>
    <w:rsid w:val="004E4562"/>
    <w:rsid w:val="004E7F0F"/>
    <w:rsid w:val="004F077F"/>
    <w:rsid w:val="004F78B4"/>
    <w:rsid w:val="005023DD"/>
    <w:rsid w:val="00503D8C"/>
    <w:rsid w:val="00511179"/>
    <w:rsid w:val="0051170E"/>
    <w:rsid w:val="00511F14"/>
    <w:rsid w:val="00512BAE"/>
    <w:rsid w:val="0051485A"/>
    <w:rsid w:val="005148A7"/>
    <w:rsid w:val="00522B84"/>
    <w:rsid w:val="00531A7F"/>
    <w:rsid w:val="00534BAD"/>
    <w:rsid w:val="005360E8"/>
    <w:rsid w:val="005412D0"/>
    <w:rsid w:val="005428C5"/>
    <w:rsid w:val="0054334C"/>
    <w:rsid w:val="00543C55"/>
    <w:rsid w:val="0054412E"/>
    <w:rsid w:val="0055393B"/>
    <w:rsid w:val="005554C7"/>
    <w:rsid w:val="00556F58"/>
    <w:rsid w:val="0055704F"/>
    <w:rsid w:val="00567D57"/>
    <w:rsid w:val="005703C3"/>
    <w:rsid w:val="00571004"/>
    <w:rsid w:val="0057685F"/>
    <w:rsid w:val="00577B63"/>
    <w:rsid w:val="00582B99"/>
    <w:rsid w:val="00590903"/>
    <w:rsid w:val="005A617A"/>
    <w:rsid w:val="005B0FC9"/>
    <w:rsid w:val="005B24B2"/>
    <w:rsid w:val="005B2D0D"/>
    <w:rsid w:val="005B66D3"/>
    <w:rsid w:val="005B7D91"/>
    <w:rsid w:val="005C422A"/>
    <w:rsid w:val="005C4556"/>
    <w:rsid w:val="005C5302"/>
    <w:rsid w:val="005D307B"/>
    <w:rsid w:val="005E362E"/>
    <w:rsid w:val="005E43B3"/>
    <w:rsid w:val="005F2195"/>
    <w:rsid w:val="005F69D4"/>
    <w:rsid w:val="005F7593"/>
    <w:rsid w:val="006029D7"/>
    <w:rsid w:val="00606BFF"/>
    <w:rsid w:val="00606E35"/>
    <w:rsid w:val="0061109D"/>
    <w:rsid w:val="0061138B"/>
    <w:rsid w:val="00612AA0"/>
    <w:rsid w:val="006138CB"/>
    <w:rsid w:val="006142A4"/>
    <w:rsid w:val="0062200D"/>
    <w:rsid w:val="006224C4"/>
    <w:rsid w:val="006225EA"/>
    <w:rsid w:val="006261DF"/>
    <w:rsid w:val="00631936"/>
    <w:rsid w:val="006321DC"/>
    <w:rsid w:val="00641270"/>
    <w:rsid w:val="00642074"/>
    <w:rsid w:val="006424F8"/>
    <w:rsid w:val="00656049"/>
    <w:rsid w:val="0065675C"/>
    <w:rsid w:val="00672C84"/>
    <w:rsid w:val="00681CAB"/>
    <w:rsid w:val="00682CFC"/>
    <w:rsid w:val="006842EF"/>
    <w:rsid w:val="00685030"/>
    <w:rsid w:val="00692D4F"/>
    <w:rsid w:val="00693E35"/>
    <w:rsid w:val="0069559B"/>
    <w:rsid w:val="00695E58"/>
    <w:rsid w:val="0069613C"/>
    <w:rsid w:val="0069757D"/>
    <w:rsid w:val="006A1329"/>
    <w:rsid w:val="006A66F9"/>
    <w:rsid w:val="006B4303"/>
    <w:rsid w:val="006D024C"/>
    <w:rsid w:val="006E3B3D"/>
    <w:rsid w:val="006E5C9C"/>
    <w:rsid w:val="006F00F2"/>
    <w:rsid w:val="006F1774"/>
    <w:rsid w:val="006F292B"/>
    <w:rsid w:val="006F6A03"/>
    <w:rsid w:val="00700DB0"/>
    <w:rsid w:val="00713D81"/>
    <w:rsid w:val="00717A20"/>
    <w:rsid w:val="00720DFF"/>
    <w:rsid w:val="007265F3"/>
    <w:rsid w:val="00730E23"/>
    <w:rsid w:val="00753311"/>
    <w:rsid w:val="00754513"/>
    <w:rsid w:val="00762CC5"/>
    <w:rsid w:val="00762F85"/>
    <w:rsid w:val="00767063"/>
    <w:rsid w:val="007906B4"/>
    <w:rsid w:val="0079178A"/>
    <w:rsid w:val="007970A0"/>
    <w:rsid w:val="00797E4F"/>
    <w:rsid w:val="007A314C"/>
    <w:rsid w:val="007A3CB9"/>
    <w:rsid w:val="007B215B"/>
    <w:rsid w:val="007B4617"/>
    <w:rsid w:val="007C26B6"/>
    <w:rsid w:val="007C2D96"/>
    <w:rsid w:val="007E0FB6"/>
    <w:rsid w:val="007E759D"/>
    <w:rsid w:val="007F2DBE"/>
    <w:rsid w:val="007F33B6"/>
    <w:rsid w:val="007F642D"/>
    <w:rsid w:val="007F756A"/>
    <w:rsid w:val="00800E2C"/>
    <w:rsid w:val="0080214D"/>
    <w:rsid w:val="00812471"/>
    <w:rsid w:val="008261A5"/>
    <w:rsid w:val="008327E5"/>
    <w:rsid w:val="0083382E"/>
    <w:rsid w:val="00844AAC"/>
    <w:rsid w:val="00844D14"/>
    <w:rsid w:val="008457CE"/>
    <w:rsid w:val="0085354A"/>
    <w:rsid w:val="00855325"/>
    <w:rsid w:val="00862E34"/>
    <w:rsid w:val="008634F3"/>
    <w:rsid w:val="0086528D"/>
    <w:rsid w:val="008652FA"/>
    <w:rsid w:val="00865915"/>
    <w:rsid w:val="008661AA"/>
    <w:rsid w:val="00871832"/>
    <w:rsid w:val="00874821"/>
    <w:rsid w:val="00875E9B"/>
    <w:rsid w:val="00876FCA"/>
    <w:rsid w:val="008830F9"/>
    <w:rsid w:val="00886CCE"/>
    <w:rsid w:val="008942C6"/>
    <w:rsid w:val="00896B33"/>
    <w:rsid w:val="00897DBE"/>
    <w:rsid w:val="008A2995"/>
    <w:rsid w:val="008A2BA4"/>
    <w:rsid w:val="008A62FB"/>
    <w:rsid w:val="008A77B7"/>
    <w:rsid w:val="008B0F67"/>
    <w:rsid w:val="008B297B"/>
    <w:rsid w:val="008B3833"/>
    <w:rsid w:val="008C0535"/>
    <w:rsid w:val="008C0BCD"/>
    <w:rsid w:val="008C0BD9"/>
    <w:rsid w:val="008C608D"/>
    <w:rsid w:val="008D1F37"/>
    <w:rsid w:val="008E14BE"/>
    <w:rsid w:val="008E461D"/>
    <w:rsid w:val="008E5520"/>
    <w:rsid w:val="008F08E5"/>
    <w:rsid w:val="008F097F"/>
    <w:rsid w:val="008F0EA4"/>
    <w:rsid w:val="008F10B9"/>
    <w:rsid w:val="008F38F6"/>
    <w:rsid w:val="008F5213"/>
    <w:rsid w:val="008F67E7"/>
    <w:rsid w:val="008F6B2D"/>
    <w:rsid w:val="009000CF"/>
    <w:rsid w:val="009050B3"/>
    <w:rsid w:val="00906FC5"/>
    <w:rsid w:val="0090748B"/>
    <w:rsid w:val="00914C4C"/>
    <w:rsid w:val="00920C9C"/>
    <w:rsid w:val="00922754"/>
    <w:rsid w:val="00925781"/>
    <w:rsid w:val="009258D0"/>
    <w:rsid w:val="00932BAE"/>
    <w:rsid w:val="00933C0C"/>
    <w:rsid w:val="00934D87"/>
    <w:rsid w:val="00935AB3"/>
    <w:rsid w:val="00940FBB"/>
    <w:rsid w:val="009635CF"/>
    <w:rsid w:val="009646C4"/>
    <w:rsid w:val="009668BB"/>
    <w:rsid w:val="009734CE"/>
    <w:rsid w:val="00974CB0"/>
    <w:rsid w:val="00975085"/>
    <w:rsid w:val="009750A4"/>
    <w:rsid w:val="0098460C"/>
    <w:rsid w:val="00991976"/>
    <w:rsid w:val="0099413E"/>
    <w:rsid w:val="00996E1A"/>
    <w:rsid w:val="009B1E02"/>
    <w:rsid w:val="009B4392"/>
    <w:rsid w:val="009B51DA"/>
    <w:rsid w:val="009B7D09"/>
    <w:rsid w:val="009C0784"/>
    <w:rsid w:val="009C2CB9"/>
    <w:rsid w:val="009C51DF"/>
    <w:rsid w:val="009D24DA"/>
    <w:rsid w:val="009D5D75"/>
    <w:rsid w:val="009E0C0B"/>
    <w:rsid w:val="009E572D"/>
    <w:rsid w:val="009F1A62"/>
    <w:rsid w:val="009F32A2"/>
    <w:rsid w:val="009F54CE"/>
    <w:rsid w:val="009F70FE"/>
    <w:rsid w:val="00A0600B"/>
    <w:rsid w:val="00A06264"/>
    <w:rsid w:val="00A1639A"/>
    <w:rsid w:val="00A215C9"/>
    <w:rsid w:val="00A25474"/>
    <w:rsid w:val="00A25CF0"/>
    <w:rsid w:val="00A344DD"/>
    <w:rsid w:val="00A5364B"/>
    <w:rsid w:val="00A615E0"/>
    <w:rsid w:val="00A65E2B"/>
    <w:rsid w:val="00A70878"/>
    <w:rsid w:val="00A73C12"/>
    <w:rsid w:val="00A74AA0"/>
    <w:rsid w:val="00A7546D"/>
    <w:rsid w:val="00A7613D"/>
    <w:rsid w:val="00A77100"/>
    <w:rsid w:val="00A81626"/>
    <w:rsid w:val="00A8357B"/>
    <w:rsid w:val="00A848FC"/>
    <w:rsid w:val="00A975B1"/>
    <w:rsid w:val="00AA4D97"/>
    <w:rsid w:val="00AB424B"/>
    <w:rsid w:val="00AD17B7"/>
    <w:rsid w:val="00AF08D2"/>
    <w:rsid w:val="00B01A1B"/>
    <w:rsid w:val="00B02242"/>
    <w:rsid w:val="00B069C5"/>
    <w:rsid w:val="00B06D1B"/>
    <w:rsid w:val="00B077D5"/>
    <w:rsid w:val="00B16A78"/>
    <w:rsid w:val="00B200E4"/>
    <w:rsid w:val="00B26FFD"/>
    <w:rsid w:val="00B31E12"/>
    <w:rsid w:val="00B31F77"/>
    <w:rsid w:val="00B3325C"/>
    <w:rsid w:val="00B35B6D"/>
    <w:rsid w:val="00B35DC6"/>
    <w:rsid w:val="00B35DD7"/>
    <w:rsid w:val="00B51699"/>
    <w:rsid w:val="00B53FAF"/>
    <w:rsid w:val="00B55D98"/>
    <w:rsid w:val="00B63153"/>
    <w:rsid w:val="00B6527D"/>
    <w:rsid w:val="00B73B3A"/>
    <w:rsid w:val="00B74507"/>
    <w:rsid w:val="00B75718"/>
    <w:rsid w:val="00B75E7E"/>
    <w:rsid w:val="00B81257"/>
    <w:rsid w:val="00B9324B"/>
    <w:rsid w:val="00B93817"/>
    <w:rsid w:val="00B9391B"/>
    <w:rsid w:val="00B9682D"/>
    <w:rsid w:val="00BA0B96"/>
    <w:rsid w:val="00BA52C9"/>
    <w:rsid w:val="00BB15DA"/>
    <w:rsid w:val="00BB340D"/>
    <w:rsid w:val="00BB6626"/>
    <w:rsid w:val="00BC2A3A"/>
    <w:rsid w:val="00BC64EC"/>
    <w:rsid w:val="00BC7971"/>
    <w:rsid w:val="00BC7BF3"/>
    <w:rsid w:val="00BD073D"/>
    <w:rsid w:val="00BD6001"/>
    <w:rsid w:val="00BD6652"/>
    <w:rsid w:val="00BD75E0"/>
    <w:rsid w:val="00BE10CC"/>
    <w:rsid w:val="00BE4198"/>
    <w:rsid w:val="00BF029A"/>
    <w:rsid w:val="00BF3AFD"/>
    <w:rsid w:val="00BF5FE7"/>
    <w:rsid w:val="00C1606C"/>
    <w:rsid w:val="00C16E16"/>
    <w:rsid w:val="00C23180"/>
    <w:rsid w:val="00C26F94"/>
    <w:rsid w:val="00C31A72"/>
    <w:rsid w:val="00C41492"/>
    <w:rsid w:val="00C502EC"/>
    <w:rsid w:val="00C50874"/>
    <w:rsid w:val="00C702B5"/>
    <w:rsid w:val="00C70389"/>
    <w:rsid w:val="00C904B6"/>
    <w:rsid w:val="00C90A75"/>
    <w:rsid w:val="00C96DF4"/>
    <w:rsid w:val="00CA0F2C"/>
    <w:rsid w:val="00CA6A66"/>
    <w:rsid w:val="00CB00A5"/>
    <w:rsid w:val="00CB317E"/>
    <w:rsid w:val="00CC1337"/>
    <w:rsid w:val="00CC2514"/>
    <w:rsid w:val="00CC48DF"/>
    <w:rsid w:val="00CC6FB9"/>
    <w:rsid w:val="00CD4A91"/>
    <w:rsid w:val="00CD5CAB"/>
    <w:rsid w:val="00CD6BD0"/>
    <w:rsid w:val="00CD70E7"/>
    <w:rsid w:val="00CD7363"/>
    <w:rsid w:val="00CE0964"/>
    <w:rsid w:val="00CE0C1F"/>
    <w:rsid w:val="00CE3191"/>
    <w:rsid w:val="00CE455F"/>
    <w:rsid w:val="00CE4A15"/>
    <w:rsid w:val="00CE5195"/>
    <w:rsid w:val="00CE6B63"/>
    <w:rsid w:val="00CE74B4"/>
    <w:rsid w:val="00CE7D16"/>
    <w:rsid w:val="00CF0BF9"/>
    <w:rsid w:val="00CF2E86"/>
    <w:rsid w:val="00CF5957"/>
    <w:rsid w:val="00CF6C58"/>
    <w:rsid w:val="00D0004A"/>
    <w:rsid w:val="00D04BA2"/>
    <w:rsid w:val="00D077B0"/>
    <w:rsid w:val="00D157A0"/>
    <w:rsid w:val="00D22D42"/>
    <w:rsid w:val="00D24AF1"/>
    <w:rsid w:val="00D31447"/>
    <w:rsid w:val="00D35A6D"/>
    <w:rsid w:val="00D36D8D"/>
    <w:rsid w:val="00D45711"/>
    <w:rsid w:val="00D47190"/>
    <w:rsid w:val="00D500FC"/>
    <w:rsid w:val="00D50EC4"/>
    <w:rsid w:val="00D51597"/>
    <w:rsid w:val="00D5326E"/>
    <w:rsid w:val="00D55867"/>
    <w:rsid w:val="00D57410"/>
    <w:rsid w:val="00D634A3"/>
    <w:rsid w:val="00D72339"/>
    <w:rsid w:val="00D73E47"/>
    <w:rsid w:val="00D74ABB"/>
    <w:rsid w:val="00D83CB7"/>
    <w:rsid w:val="00D93B80"/>
    <w:rsid w:val="00D976B3"/>
    <w:rsid w:val="00D97FA8"/>
    <w:rsid w:val="00DB289A"/>
    <w:rsid w:val="00DB4363"/>
    <w:rsid w:val="00DB66BD"/>
    <w:rsid w:val="00DC07C5"/>
    <w:rsid w:val="00DC46A8"/>
    <w:rsid w:val="00DC7B25"/>
    <w:rsid w:val="00DD340F"/>
    <w:rsid w:val="00DD39EA"/>
    <w:rsid w:val="00DD6B73"/>
    <w:rsid w:val="00DE23F8"/>
    <w:rsid w:val="00DE7CC2"/>
    <w:rsid w:val="00E007DD"/>
    <w:rsid w:val="00E04392"/>
    <w:rsid w:val="00E05CF6"/>
    <w:rsid w:val="00E077DE"/>
    <w:rsid w:val="00E112C9"/>
    <w:rsid w:val="00E1314C"/>
    <w:rsid w:val="00E158F7"/>
    <w:rsid w:val="00E16ABE"/>
    <w:rsid w:val="00E2087E"/>
    <w:rsid w:val="00E2356E"/>
    <w:rsid w:val="00E23C81"/>
    <w:rsid w:val="00E2636D"/>
    <w:rsid w:val="00E34976"/>
    <w:rsid w:val="00E36818"/>
    <w:rsid w:val="00E47B97"/>
    <w:rsid w:val="00E5203C"/>
    <w:rsid w:val="00E634CC"/>
    <w:rsid w:val="00E81727"/>
    <w:rsid w:val="00E82F0E"/>
    <w:rsid w:val="00E84DFB"/>
    <w:rsid w:val="00E90673"/>
    <w:rsid w:val="00E95ABF"/>
    <w:rsid w:val="00E95F89"/>
    <w:rsid w:val="00E96FAC"/>
    <w:rsid w:val="00EA0382"/>
    <w:rsid w:val="00EA129F"/>
    <w:rsid w:val="00EB7A31"/>
    <w:rsid w:val="00EC08DC"/>
    <w:rsid w:val="00ED0582"/>
    <w:rsid w:val="00ED1262"/>
    <w:rsid w:val="00ED7374"/>
    <w:rsid w:val="00EE31F6"/>
    <w:rsid w:val="00EE36DC"/>
    <w:rsid w:val="00EE6896"/>
    <w:rsid w:val="00EF06B5"/>
    <w:rsid w:val="00F044EE"/>
    <w:rsid w:val="00F04DEB"/>
    <w:rsid w:val="00F20069"/>
    <w:rsid w:val="00F20AAA"/>
    <w:rsid w:val="00F21201"/>
    <w:rsid w:val="00F2414C"/>
    <w:rsid w:val="00F3320B"/>
    <w:rsid w:val="00F40E92"/>
    <w:rsid w:val="00F41947"/>
    <w:rsid w:val="00F435AA"/>
    <w:rsid w:val="00F45370"/>
    <w:rsid w:val="00F511B7"/>
    <w:rsid w:val="00F60A04"/>
    <w:rsid w:val="00F63C5D"/>
    <w:rsid w:val="00F67EAF"/>
    <w:rsid w:val="00F7191D"/>
    <w:rsid w:val="00F72E52"/>
    <w:rsid w:val="00F730FC"/>
    <w:rsid w:val="00F76C6A"/>
    <w:rsid w:val="00F83BF1"/>
    <w:rsid w:val="00F84E8C"/>
    <w:rsid w:val="00F90CB9"/>
    <w:rsid w:val="00F91D23"/>
    <w:rsid w:val="00F91DD8"/>
    <w:rsid w:val="00F97373"/>
    <w:rsid w:val="00F97A65"/>
    <w:rsid w:val="00FA0254"/>
    <w:rsid w:val="00FA59F1"/>
    <w:rsid w:val="00FA6129"/>
    <w:rsid w:val="00FA6854"/>
    <w:rsid w:val="00FB064F"/>
    <w:rsid w:val="00FB0F6B"/>
    <w:rsid w:val="00FB144F"/>
    <w:rsid w:val="00FB159A"/>
    <w:rsid w:val="00FB4D77"/>
    <w:rsid w:val="00FC40F0"/>
    <w:rsid w:val="00FC497D"/>
    <w:rsid w:val="00FD076B"/>
    <w:rsid w:val="00FD140F"/>
    <w:rsid w:val="00FD39DE"/>
    <w:rsid w:val="00FE1A6B"/>
    <w:rsid w:val="00FE4B61"/>
    <w:rsid w:val="00FF378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F9775E"/>
  <w15:docId w15:val="{9F8962BB-F1CF-42A7-A4C6-EDC01265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67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D9100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767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6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67063"/>
    <w:rPr>
      <w:rFonts w:asciiTheme="majorHAnsi" w:eastAsiaTheme="majorEastAsia" w:hAnsiTheme="majorHAnsi" w:cstheme="majorBidi"/>
      <w:color w:val="BD9100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67063"/>
    <w:rPr>
      <w:rFonts w:asciiTheme="majorHAnsi" w:eastAsiaTheme="majorEastAsia" w:hAnsiTheme="majorHAnsi" w:cstheme="majorBidi"/>
      <w:color w:val="7E600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berlin-investment/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9B7D-6363-488D-88B5-B21BD71D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Berit Friedrich</cp:lastModifiedBy>
  <cp:revision>4</cp:revision>
  <cp:lastPrinted>2020-01-08T13:10:00Z</cp:lastPrinted>
  <dcterms:created xsi:type="dcterms:W3CDTF">2021-07-12T11:29:00Z</dcterms:created>
  <dcterms:modified xsi:type="dcterms:W3CDTF">2021-07-12T11:47:00Z</dcterms:modified>
</cp:coreProperties>
</file>