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9034" w14:textId="686021F0" w:rsidR="000D48D4" w:rsidRPr="00E53DC5" w:rsidRDefault="00424033" w:rsidP="00365A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Berlin</w:t>
      </w:r>
      <w:r w:rsidR="00E90673" w:rsidRPr="0054412E">
        <w:rPr>
          <w:rFonts w:ascii="Arial" w:hAnsi="Arial" w:cs="Arial"/>
          <w:b/>
        </w:rPr>
        <w:t xml:space="preserve">: </w:t>
      </w:r>
      <w:r w:rsidR="009050B3">
        <w:rPr>
          <w:rFonts w:ascii="Arial" w:hAnsi="Arial" w:cs="Arial"/>
          <w:b/>
        </w:rPr>
        <w:t>Investmentmarkt 1.</w:t>
      </w:r>
      <w:r w:rsidR="00D67511">
        <w:rPr>
          <w:rFonts w:ascii="Arial" w:hAnsi="Arial" w:cs="Arial"/>
          <w:b/>
        </w:rPr>
        <w:t>-3</w:t>
      </w:r>
      <w:r w:rsidR="00940FBB">
        <w:rPr>
          <w:rFonts w:ascii="Arial" w:hAnsi="Arial" w:cs="Arial"/>
          <w:b/>
        </w:rPr>
        <w:t>.</w:t>
      </w:r>
      <w:r w:rsidR="00B9324B" w:rsidRPr="00B9324B">
        <w:rPr>
          <w:rFonts w:ascii="Arial" w:hAnsi="Arial" w:cs="Arial"/>
          <w:b/>
        </w:rPr>
        <w:t xml:space="preserve"> Quartal 20</w:t>
      </w:r>
      <w:r w:rsidR="00BD6652">
        <w:rPr>
          <w:rFonts w:ascii="Arial" w:hAnsi="Arial" w:cs="Arial"/>
          <w:b/>
        </w:rPr>
        <w:t>21</w:t>
      </w:r>
      <w:r w:rsidR="0054412E">
        <w:rPr>
          <w:rFonts w:ascii="Arial" w:hAnsi="Arial" w:cs="Arial"/>
          <w:b/>
        </w:rPr>
        <w:br/>
      </w:r>
      <w:r w:rsidR="00C348CA" w:rsidRPr="00E53DC5">
        <w:rPr>
          <w:rFonts w:ascii="Arial" w:hAnsi="Arial" w:cs="Arial"/>
          <w:b/>
          <w:sz w:val="28"/>
          <w:szCs w:val="28"/>
        </w:rPr>
        <w:t>Bundeshauptstadt Kapitalmagnet</w:t>
      </w:r>
      <w:r w:rsidR="00CD5FA7" w:rsidRPr="00E53DC5">
        <w:rPr>
          <w:rFonts w:ascii="Arial" w:hAnsi="Arial" w:cs="Arial"/>
          <w:b/>
          <w:sz w:val="28"/>
          <w:szCs w:val="28"/>
        </w:rPr>
        <w:t xml:space="preserve"> für </w:t>
      </w:r>
      <w:r w:rsidR="001548AF" w:rsidRPr="00E53DC5">
        <w:rPr>
          <w:rFonts w:ascii="Arial" w:hAnsi="Arial" w:cs="Arial"/>
          <w:b/>
          <w:sz w:val="28"/>
          <w:szCs w:val="28"/>
        </w:rPr>
        <w:t xml:space="preserve">Investments in </w:t>
      </w:r>
      <w:r w:rsidR="00CD5FA7" w:rsidRPr="00E53DC5">
        <w:rPr>
          <w:rFonts w:ascii="Arial" w:hAnsi="Arial" w:cs="Arial"/>
          <w:b/>
          <w:sz w:val="28"/>
          <w:szCs w:val="28"/>
        </w:rPr>
        <w:t xml:space="preserve">gewerbliche </w:t>
      </w:r>
      <w:r w:rsidR="001548AF" w:rsidRPr="00E53DC5">
        <w:rPr>
          <w:rFonts w:ascii="Arial" w:hAnsi="Arial" w:cs="Arial"/>
          <w:b/>
          <w:sz w:val="28"/>
          <w:szCs w:val="28"/>
        </w:rPr>
        <w:t>Immobilien</w:t>
      </w:r>
    </w:p>
    <w:p w14:paraId="5DC3EAC5" w14:textId="29DB094C" w:rsidR="00590903" w:rsidRPr="006C2ABF" w:rsidRDefault="00590903" w:rsidP="00365A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408916" w14:textId="5056B20E" w:rsidR="00940FBB" w:rsidRPr="00822CF9" w:rsidRDefault="00424033" w:rsidP="00F91D2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Berlin</w:t>
      </w:r>
      <w:r w:rsidR="00E90673" w:rsidRPr="00AB424B">
        <w:rPr>
          <w:rFonts w:ascii="Arial" w:hAnsi="Arial" w:cs="Arial"/>
          <w:b/>
          <w:sz w:val="20"/>
          <w:szCs w:val="20"/>
        </w:rPr>
        <w:t xml:space="preserve">, </w:t>
      </w:r>
      <w:r w:rsidR="00D56A5A">
        <w:rPr>
          <w:rFonts w:ascii="Arial" w:hAnsi="Arial" w:cs="Arial"/>
          <w:b/>
          <w:sz w:val="20"/>
          <w:szCs w:val="20"/>
        </w:rPr>
        <w:t>15</w:t>
      </w:r>
      <w:r w:rsidR="00B31F77">
        <w:rPr>
          <w:rFonts w:ascii="Arial" w:hAnsi="Arial" w:cs="Arial"/>
          <w:b/>
          <w:sz w:val="20"/>
          <w:szCs w:val="20"/>
        </w:rPr>
        <w:t>.</w:t>
      </w:r>
      <w:r w:rsidR="00D157A0" w:rsidRPr="00AB424B">
        <w:rPr>
          <w:rFonts w:ascii="Arial" w:hAnsi="Arial" w:cs="Arial"/>
          <w:b/>
          <w:sz w:val="20"/>
          <w:szCs w:val="20"/>
        </w:rPr>
        <w:t xml:space="preserve"> </w:t>
      </w:r>
      <w:r w:rsidR="001B7F04">
        <w:rPr>
          <w:rFonts w:ascii="Arial" w:hAnsi="Arial" w:cs="Arial"/>
          <w:b/>
          <w:sz w:val="20"/>
          <w:szCs w:val="20"/>
        </w:rPr>
        <w:t>Oktober</w:t>
      </w:r>
      <w:r w:rsidR="00132522" w:rsidRPr="00AB424B">
        <w:rPr>
          <w:rFonts w:ascii="Arial" w:hAnsi="Arial" w:cs="Arial"/>
          <w:b/>
          <w:sz w:val="20"/>
          <w:szCs w:val="20"/>
        </w:rPr>
        <w:t xml:space="preserve"> </w:t>
      </w:r>
      <w:r w:rsidR="00D157A0" w:rsidRPr="00AB424B">
        <w:rPr>
          <w:rFonts w:ascii="Arial" w:hAnsi="Arial" w:cs="Arial"/>
          <w:b/>
          <w:sz w:val="20"/>
          <w:szCs w:val="20"/>
        </w:rPr>
        <w:t>20</w:t>
      </w:r>
      <w:r w:rsidR="00BD6652">
        <w:rPr>
          <w:rFonts w:ascii="Arial" w:hAnsi="Arial" w:cs="Arial"/>
          <w:b/>
          <w:sz w:val="20"/>
          <w:szCs w:val="20"/>
        </w:rPr>
        <w:t>21</w:t>
      </w:r>
      <w:r w:rsidR="00D157A0" w:rsidRPr="00AB424B">
        <w:rPr>
          <w:rFonts w:ascii="Arial" w:hAnsi="Arial" w:cs="Arial"/>
          <w:b/>
          <w:sz w:val="20"/>
          <w:szCs w:val="20"/>
        </w:rPr>
        <w:t xml:space="preserve"> </w:t>
      </w:r>
      <w:r w:rsidR="00D157A0" w:rsidRPr="00AB424B">
        <w:rPr>
          <w:rFonts w:ascii="Arial" w:hAnsi="Arial" w:cs="Arial"/>
          <w:sz w:val="20"/>
          <w:szCs w:val="20"/>
        </w:rPr>
        <w:t>–</w:t>
      </w:r>
      <w:r w:rsidR="00797E4F" w:rsidRPr="00AB424B">
        <w:rPr>
          <w:rFonts w:ascii="Arial" w:hAnsi="Arial" w:cs="Arial"/>
          <w:b/>
          <w:sz w:val="20"/>
          <w:szCs w:val="20"/>
        </w:rPr>
        <w:t xml:space="preserve"> </w:t>
      </w:r>
      <w:r w:rsidR="00CD5FA7" w:rsidRPr="00822CF9">
        <w:rPr>
          <w:rFonts w:ascii="Arial" w:hAnsi="Arial" w:cs="Arial"/>
          <w:sz w:val="20"/>
          <w:szCs w:val="20"/>
        </w:rPr>
        <w:t xml:space="preserve">Berlin legte </w:t>
      </w:r>
      <w:r w:rsidR="00855669" w:rsidRPr="00822CF9">
        <w:rPr>
          <w:rFonts w:ascii="Arial" w:hAnsi="Arial" w:cs="Arial"/>
          <w:sz w:val="20"/>
          <w:szCs w:val="20"/>
        </w:rPr>
        <w:t xml:space="preserve">Ende September </w:t>
      </w:r>
      <w:r w:rsidR="00CD5FA7" w:rsidRPr="00822CF9">
        <w:rPr>
          <w:rFonts w:ascii="Arial" w:hAnsi="Arial" w:cs="Arial"/>
          <w:sz w:val="20"/>
          <w:szCs w:val="20"/>
        </w:rPr>
        <w:t xml:space="preserve">mit einem Transaktionsvolumen von </w:t>
      </w:r>
      <w:r w:rsidR="00A92943" w:rsidRPr="00822CF9">
        <w:rPr>
          <w:rFonts w:ascii="Arial" w:hAnsi="Arial" w:cs="Arial"/>
          <w:sz w:val="20"/>
          <w:szCs w:val="20"/>
        </w:rPr>
        <w:t>6,4</w:t>
      </w:r>
      <w:r w:rsidR="00CD5FA7" w:rsidRPr="00822CF9">
        <w:rPr>
          <w:rFonts w:ascii="Arial" w:hAnsi="Arial" w:cs="Arial"/>
          <w:sz w:val="20"/>
          <w:szCs w:val="20"/>
        </w:rPr>
        <w:t xml:space="preserve"> Mrd. € das bisher </w:t>
      </w:r>
      <w:r w:rsidR="00A92943" w:rsidRPr="00822CF9">
        <w:rPr>
          <w:rFonts w:ascii="Arial" w:hAnsi="Arial" w:cs="Arial"/>
          <w:sz w:val="20"/>
          <w:szCs w:val="20"/>
        </w:rPr>
        <w:t>zweitbeste</w:t>
      </w:r>
      <w:r w:rsidR="00CD5FA7" w:rsidRPr="00822CF9">
        <w:rPr>
          <w:rFonts w:ascii="Arial" w:hAnsi="Arial" w:cs="Arial"/>
          <w:sz w:val="20"/>
          <w:szCs w:val="20"/>
        </w:rPr>
        <w:t xml:space="preserve"> Ergebnis </w:t>
      </w:r>
      <w:r w:rsidR="00855669" w:rsidRPr="00822CF9">
        <w:rPr>
          <w:rFonts w:ascii="Arial" w:hAnsi="Arial" w:cs="Arial"/>
          <w:sz w:val="20"/>
          <w:szCs w:val="20"/>
        </w:rPr>
        <w:t xml:space="preserve">zu diesem Zeitpunkt </w:t>
      </w:r>
      <w:r w:rsidR="00CD5FA7" w:rsidRPr="00822CF9">
        <w:rPr>
          <w:rFonts w:ascii="Arial" w:hAnsi="Arial" w:cs="Arial"/>
          <w:sz w:val="20"/>
          <w:szCs w:val="20"/>
        </w:rPr>
        <w:t>vor.</w:t>
      </w:r>
      <w:r w:rsidR="00855669" w:rsidRPr="00822CF9">
        <w:rPr>
          <w:rFonts w:ascii="Arial" w:hAnsi="Arial" w:cs="Arial"/>
          <w:sz w:val="20"/>
          <w:szCs w:val="20"/>
        </w:rPr>
        <w:t xml:space="preserve"> Einen </w:t>
      </w:r>
      <w:r w:rsidR="00A70C9E" w:rsidRPr="00822CF9">
        <w:rPr>
          <w:rFonts w:ascii="Arial" w:hAnsi="Arial" w:cs="Arial"/>
          <w:sz w:val="20"/>
          <w:szCs w:val="20"/>
        </w:rPr>
        <w:t>bestimmenden</w:t>
      </w:r>
      <w:r w:rsidR="00855669" w:rsidRPr="00822CF9">
        <w:rPr>
          <w:rFonts w:ascii="Arial" w:hAnsi="Arial" w:cs="Arial"/>
          <w:sz w:val="20"/>
          <w:szCs w:val="20"/>
        </w:rPr>
        <w:t xml:space="preserve"> Anteil daran hatte</w:t>
      </w:r>
      <w:r w:rsidR="00822CF9">
        <w:rPr>
          <w:rFonts w:ascii="Arial" w:hAnsi="Arial" w:cs="Arial"/>
          <w:sz w:val="20"/>
          <w:szCs w:val="20"/>
        </w:rPr>
        <w:t>n</w:t>
      </w:r>
      <w:r w:rsidR="00855669" w:rsidRPr="00822CF9">
        <w:rPr>
          <w:rFonts w:ascii="Arial" w:hAnsi="Arial" w:cs="Arial"/>
          <w:sz w:val="20"/>
          <w:szCs w:val="20"/>
        </w:rPr>
        <w:t xml:space="preserve"> </w:t>
      </w:r>
      <w:r w:rsidR="00FF6957" w:rsidRPr="00822CF9">
        <w:rPr>
          <w:rFonts w:ascii="Arial" w:hAnsi="Arial" w:cs="Arial"/>
          <w:sz w:val="20"/>
          <w:szCs w:val="20"/>
        </w:rPr>
        <w:t xml:space="preserve">natürlich </w:t>
      </w:r>
      <w:r w:rsidR="00822CF9">
        <w:rPr>
          <w:rFonts w:ascii="Arial" w:hAnsi="Arial" w:cs="Arial"/>
          <w:sz w:val="20"/>
          <w:szCs w:val="20"/>
        </w:rPr>
        <w:t>die Verkäufe</w:t>
      </w:r>
      <w:r w:rsidR="00855669" w:rsidRPr="00822CF9">
        <w:rPr>
          <w:rFonts w:ascii="Arial" w:hAnsi="Arial" w:cs="Arial"/>
          <w:sz w:val="20"/>
          <w:szCs w:val="20"/>
        </w:rPr>
        <w:t xml:space="preserve"> des nun „Fürst“ genannten ehemaligen </w:t>
      </w:r>
      <w:r w:rsidR="00903598" w:rsidRPr="00822CF9">
        <w:rPr>
          <w:rFonts w:ascii="Arial" w:hAnsi="Arial" w:cs="Arial"/>
          <w:sz w:val="20"/>
          <w:szCs w:val="20"/>
        </w:rPr>
        <w:t>„</w:t>
      </w:r>
      <w:r w:rsidR="00855669" w:rsidRPr="00822CF9">
        <w:rPr>
          <w:rFonts w:ascii="Arial" w:hAnsi="Arial" w:cs="Arial"/>
          <w:sz w:val="20"/>
          <w:szCs w:val="20"/>
        </w:rPr>
        <w:t>Ku’damm Karrees</w:t>
      </w:r>
      <w:r w:rsidR="00903598" w:rsidRPr="00822CF9">
        <w:rPr>
          <w:rFonts w:ascii="Arial" w:hAnsi="Arial" w:cs="Arial"/>
          <w:sz w:val="20"/>
          <w:szCs w:val="20"/>
        </w:rPr>
        <w:t>“</w:t>
      </w:r>
      <w:r w:rsidR="00855669" w:rsidRPr="00822CF9">
        <w:rPr>
          <w:rFonts w:ascii="Arial" w:hAnsi="Arial" w:cs="Arial"/>
          <w:sz w:val="20"/>
          <w:szCs w:val="20"/>
        </w:rPr>
        <w:t xml:space="preserve"> für allein </w:t>
      </w:r>
      <w:r w:rsidR="00FF6957" w:rsidRPr="00822CF9">
        <w:rPr>
          <w:rFonts w:ascii="Arial" w:hAnsi="Arial" w:cs="Arial"/>
          <w:sz w:val="20"/>
          <w:szCs w:val="20"/>
        </w:rPr>
        <w:t>über</w:t>
      </w:r>
      <w:r w:rsidR="00855669" w:rsidRPr="00822CF9">
        <w:rPr>
          <w:rFonts w:ascii="Arial" w:hAnsi="Arial" w:cs="Arial"/>
          <w:sz w:val="20"/>
          <w:szCs w:val="20"/>
        </w:rPr>
        <w:t xml:space="preserve"> 1,</w:t>
      </w:r>
      <w:r w:rsidR="00FF6957" w:rsidRPr="00822CF9">
        <w:rPr>
          <w:rFonts w:ascii="Arial" w:hAnsi="Arial" w:cs="Arial"/>
          <w:sz w:val="20"/>
          <w:szCs w:val="20"/>
        </w:rPr>
        <w:t>0</w:t>
      </w:r>
      <w:r w:rsidR="00527C3F" w:rsidRPr="00822CF9">
        <w:rPr>
          <w:rFonts w:ascii="Arial" w:hAnsi="Arial" w:cs="Arial"/>
          <w:sz w:val="20"/>
          <w:szCs w:val="20"/>
        </w:rPr>
        <w:t xml:space="preserve"> Mrd. € im Vorq</w:t>
      </w:r>
      <w:r w:rsidR="00855669" w:rsidRPr="00822CF9">
        <w:rPr>
          <w:rFonts w:ascii="Arial" w:hAnsi="Arial" w:cs="Arial"/>
          <w:sz w:val="20"/>
          <w:szCs w:val="20"/>
        </w:rPr>
        <w:t>uartal</w:t>
      </w:r>
      <w:r w:rsidR="00564EDE" w:rsidRPr="00822CF9">
        <w:rPr>
          <w:rFonts w:ascii="Arial" w:hAnsi="Arial" w:cs="Arial"/>
          <w:sz w:val="20"/>
          <w:szCs w:val="20"/>
        </w:rPr>
        <w:t xml:space="preserve"> sowie der „Victoriastadt Lofts“</w:t>
      </w:r>
      <w:r w:rsidR="00822CF9" w:rsidRPr="00822CF9">
        <w:rPr>
          <w:rFonts w:ascii="Arial" w:hAnsi="Arial" w:cs="Arial"/>
          <w:sz w:val="20"/>
          <w:szCs w:val="20"/>
        </w:rPr>
        <w:t xml:space="preserve"> </w:t>
      </w:r>
      <w:r w:rsidR="00564EDE" w:rsidRPr="00822CF9">
        <w:rPr>
          <w:rFonts w:ascii="Arial" w:hAnsi="Arial" w:cs="Arial"/>
          <w:sz w:val="20"/>
          <w:szCs w:val="20"/>
        </w:rPr>
        <w:t xml:space="preserve">für 425 Mio. €, welche </w:t>
      </w:r>
      <w:r w:rsidR="001548AF" w:rsidRPr="00822CF9">
        <w:rPr>
          <w:rFonts w:ascii="Arial" w:hAnsi="Arial" w:cs="Arial"/>
          <w:sz w:val="20"/>
          <w:szCs w:val="20"/>
        </w:rPr>
        <w:t>als Sondereffekt</w:t>
      </w:r>
      <w:r w:rsidR="00564EDE" w:rsidRPr="00822CF9">
        <w:rPr>
          <w:rFonts w:ascii="Arial" w:hAnsi="Arial" w:cs="Arial"/>
          <w:sz w:val="20"/>
          <w:szCs w:val="20"/>
        </w:rPr>
        <w:t>e</w:t>
      </w:r>
      <w:r w:rsidR="001548AF" w:rsidRPr="00822CF9">
        <w:rPr>
          <w:rFonts w:ascii="Arial" w:hAnsi="Arial" w:cs="Arial"/>
          <w:sz w:val="20"/>
          <w:szCs w:val="20"/>
        </w:rPr>
        <w:t xml:space="preserve"> alle Berichtskategorien beeinflusst</w:t>
      </w:r>
      <w:r w:rsidR="00564EDE" w:rsidRPr="00822CF9">
        <w:rPr>
          <w:rFonts w:ascii="Arial" w:hAnsi="Arial" w:cs="Arial"/>
          <w:sz w:val="20"/>
          <w:szCs w:val="20"/>
        </w:rPr>
        <w:t>en</w:t>
      </w:r>
      <w:r w:rsidR="00855669" w:rsidRPr="00822CF9">
        <w:rPr>
          <w:rFonts w:ascii="Arial" w:hAnsi="Arial" w:cs="Arial"/>
          <w:sz w:val="20"/>
          <w:szCs w:val="20"/>
        </w:rPr>
        <w:t xml:space="preserve">. </w:t>
      </w:r>
      <w:r w:rsidR="00527C3F" w:rsidRPr="00822CF9">
        <w:rPr>
          <w:rFonts w:ascii="Arial" w:hAnsi="Arial" w:cs="Arial"/>
          <w:sz w:val="20"/>
          <w:szCs w:val="20"/>
        </w:rPr>
        <w:t>Darüber hinaus gab es</w:t>
      </w:r>
      <w:r w:rsidR="00FF6957" w:rsidRPr="00822CF9">
        <w:rPr>
          <w:rFonts w:ascii="Arial" w:hAnsi="Arial" w:cs="Arial"/>
          <w:sz w:val="20"/>
          <w:szCs w:val="20"/>
        </w:rPr>
        <w:t xml:space="preserve"> aber auch vier Transaktionen </w:t>
      </w:r>
      <w:r w:rsidR="00A70C9E" w:rsidRPr="00822CF9">
        <w:rPr>
          <w:rFonts w:ascii="Arial" w:hAnsi="Arial" w:cs="Arial"/>
          <w:sz w:val="20"/>
          <w:szCs w:val="20"/>
        </w:rPr>
        <w:t>in der Größenklasse</w:t>
      </w:r>
      <w:r w:rsidR="00FF6957" w:rsidRPr="00822CF9">
        <w:rPr>
          <w:rFonts w:ascii="Arial" w:hAnsi="Arial" w:cs="Arial"/>
          <w:sz w:val="20"/>
          <w:szCs w:val="20"/>
        </w:rPr>
        <w:t xml:space="preserve"> über 100 Mio. € mehr als im Vergleichszeitraum vor einem Jahr. </w:t>
      </w:r>
      <w:r w:rsidR="00822CF9">
        <w:rPr>
          <w:rFonts w:ascii="Arial" w:hAnsi="Arial" w:cs="Arial"/>
          <w:sz w:val="20"/>
          <w:szCs w:val="20"/>
        </w:rPr>
        <w:t>Z</w:t>
      </w:r>
      <w:r w:rsidR="00855669" w:rsidRPr="00822CF9">
        <w:rPr>
          <w:rFonts w:ascii="Arial" w:hAnsi="Arial" w:cs="Arial"/>
          <w:sz w:val="20"/>
          <w:szCs w:val="20"/>
        </w:rPr>
        <w:t xml:space="preserve">wischen Juli und September </w:t>
      </w:r>
      <w:r w:rsidR="001548AF" w:rsidRPr="00822CF9">
        <w:rPr>
          <w:rFonts w:ascii="Arial" w:hAnsi="Arial" w:cs="Arial"/>
          <w:sz w:val="20"/>
          <w:szCs w:val="20"/>
        </w:rPr>
        <w:t xml:space="preserve">belief sich das Verkaufsvolumen für </w:t>
      </w:r>
      <w:r w:rsidR="00855669" w:rsidRPr="00822CF9">
        <w:rPr>
          <w:rFonts w:ascii="Arial" w:hAnsi="Arial" w:cs="Arial"/>
          <w:sz w:val="20"/>
          <w:szCs w:val="20"/>
        </w:rPr>
        <w:t xml:space="preserve">gewerbliche Immobilien </w:t>
      </w:r>
      <w:r w:rsidR="001548AF" w:rsidRPr="00822CF9">
        <w:rPr>
          <w:rFonts w:ascii="Arial" w:hAnsi="Arial" w:cs="Arial"/>
          <w:sz w:val="20"/>
          <w:szCs w:val="20"/>
        </w:rPr>
        <w:t xml:space="preserve">auf </w:t>
      </w:r>
      <w:r w:rsidR="00A92943" w:rsidRPr="00822CF9">
        <w:rPr>
          <w:rFonts w:ascii="Arial" w:hAnsi="Arial" w:cs="Arial"/>
          <w:sz w:val="20"/>
          <w:szCs w:val="20"/>
        </w:rPr>
        <w:t>2,1</w:t>
      </w:r>
      <w:r w:rsidR="00855669" w:rsidRPr="00822CF9">
        <w:rPr>
          <w:rFonts w:ascii="Arial" w:hAnsi="Arial" w:cs="Arial"/>
          <w:sz w:val="20"/>
          <w:szCs w:val="20"/>
        </w:rPr>
        <w:t xml:space="preserve"> Mrd. €.</w:t>
      </w:r>
      <w:r w:rsidR="001548AF" w:rsidRPr="00822CF9">
        <w:rPr>
          <w:rFonts w:ascii="Arial" w:hAnsi="Arial" w:cs="Arial"/>
          <w:sz w:val="20"/>
          <w:szCs w:val="20"/>
        </w:rPr>
        <w:t xml:space="preserve"> </w:t>
      </w:r>
      <w:r w:rsidR="00A70C9E" w:rsidRPr="00822CF9">
        <w:rPr>
          <w:rFonts w:ascii="Arial" w:hAnsi="Arial" w:cs="Arial"/>
          <w:i/>
          <w:sz w:val="20"/>
          <w:szCs w:val="20"/>
        </w:rPr>
        <w:t xml:space="preserve">„Das </w:t>
      </w:r>
      <w:r w:rsidR="003F4D62" w:rsidRPr="00822CF9">
        <w:rPr>
          <w:rFonts w:ascii="Arial" w:hAnsi="Arial" w:cs="Arial"/>
          <w:i/>
          <w:sz w:val="20"/>
          <w:szCs w:val="20"/>
        </w:rPr>
        <w:t>enorme</w:t>
      </w:r>
      <w:r w:rsidR="00A70C9E" w:rsidRPr="00822CF9">
        <w:rPr>
          <w:rFonts w:ascii="Arial" w:hAnsi="Arial" w:cs="Arial"/>
          <w:i/>
          <w:sz w:val="20"/>
          <w:szCs w:val="20"/>
        </w:rPr>
        <w:t xml:space="preserve"> Transaktionsvolumen </w:t>
      </w:r>
      <w:r w:rsidR="003F4D62" w:rsidRPr="00822CF9">
        <w:rPr>
          <w:rFonts w:ascii="Arial" w:hAnsi="Arial" w:cs="Arial"/>
          <w:i/>
          <w:sz w:val="20"/>
          <w:szCs w:val="20"/>
        </w:rPr>
        <w:t xml:space="preserve">basiert auf den hohen Capital Values der Objekte, </w:t>
      </w:r>
      <w:r w:rsidR="00A70C9E" w:rsidRPr="00822CF9">
        <w:rPr>
          <w:rFonts w:ascii="Arial" w:hAnsi="Arial" w:cs="Arial"/>
          <w:i/>
          <w:sz w:val="20"/>
          <w:szCs w:val="20"/>
        </w:rPr>
        <w:t xml:space="preserve">nicht </w:t>
      </w:r>
      <w:r w:rsidR="003F4D62" w:rsidRPr="00822CF9">
        <w:rPr>
          <w:rFonts w:ascii="Arial" w:hAnsi="Arial" w:cs="Arial"/>
          <w:i/>
          <w:sz w:val="20"/>
          <w:szCs w:val="20"/>
        </w:rPr>
        <w:t xml:space="preserve">auf einer höheren Anzahl verkaufter </w:t>
      </w:r>
      <w:r w:rsidR="00A70C9E" w:rsidRPr="00822CF9">
        <w:rPr>
          <w:rFonts w:ascii="Arial" w:hAnsi="Arial" w:cs="Arial"/>
          <w:i/>
          <w:sz w:val="20"/>
          <w:szCs w:val="20"/>
        </w:rPr>
        <w:t>Gewerbeimmobilien“,</w:t>
      </w:r>
      <w:r w:rsidR="00A70C9E" w:rsidRPr="00822CF9">
        <w:rPr>
          <w:rFonts w:ascii="Arial" w:hAnsi="Arial" w:cs="Arial"/>
          <w:sz w:val="20"/>
          <w:szCs w:val="20"/>
        </w:rPr>
        <w:t xml:space="preserve"> erläutert </w:t>
      </w:r>
      <w:r w:rsidR="00A70C9E" w:rsidRPr="00822CF9">
        <w:rPr>
          <w:rFonts w:ascii="Arial" w:hAnsi="Arial" w:cs="Arial"/>
          <w:b/>
          <w:sz w:val="20"/>
          <w:szCs w:val="20"/>
        </w:rPr>
        <w:t>Holger Michaelis</w:t>
      </w:r>
      <w:r w:rsidR="00A70C9E" w:rsidRPr="00822CF9">
        <w:rPr>
          <w:rFonts w:ascii="Arial" w:hAnsi="Arial" w:cs="Arial"/>
          <w:sz w:val="20"/>
          <w:szCs w:val="20"/>
        </w:rPr>
        <w:t>, Geschäftsführer von Grossmann &amp; Berger, Mitglied von German Property Partners (GPP).</w:t>
      </w:r>
      <w:r w:rsidR="00855669" w:rsidRPr="00822CF9">
        <w:rPr>
          <w:rFonts w:ascii="Arial" w:hAnsi="Arial" w:cs="Arial"/>
          <w:sz w:val="20"/>
          <w:szCs w:val="20"/>
        </w:rPr>
        <w:t xml:space="preserve"> </w:t>
      </w:r>
      <w:r w:rsidR="003F4D62" w:rsidRPr="00822CF9">
        <w:rPr>
          <w:rFonts w:ascii="Arial" w:hAnsi="Arial" w:cs="Arial"/>
          <w:i/>
          <w:sz w:val="20"/>
          <w:szCs w:val="20"/>
        </w:rPr>
        <w:t xml:space="preserve">„Da der </w:t>
      </w:r>
      <w:r w:rsidR="0066730C" w:rsidRPr="00822CF9">
        <w:rPr>
          <w:rFonts w:ascii="Arial" w:hAnsi="Arial" w:cs="Arial"/>
          <w:i/>
          <w:sz w:val="20"/>
          <w:szCs w:val="20"/>
        </w:rPr>
        <w:t xml:space="preserve">Berliner </w:t>
      </w:r>
      <w:r w:rsidR="003F4D62" w:rsidRPr="00822CF9">
        <w:rPr>
          <w:rFonts w:ascii="Arial" w:hAnsi="Arial" w:cs="Arial"/>
          <w:i/>
          <w:sz w:val="20"/>
          <w:szCs w:val="20"/>
        </w:rPr>
        <w:t xml:space="preserve">Markt </w:t>
      </w:r>
      <w:r w:rsidR="0066730C" w:rsidRPr="00822CF9">
        <w:rPr>
          <w:rFonts w:ascii="Arial" w:hAnsi="Arial" w:cs="Arial"/>
          <w:i/>
          <w:sz w:val="20"/>
          <w:szCs w:val="20"/>
        </w:rPr>
        <w:t>weiterhin</w:t>
      </w:r>
      <w:r w:rsidR="003F4D62" w:rsidRPr="00822CF9">
        <w:rPr>
          <w:rFonts w:ascii="Arial" w:hAnsi="Arial" w:cs="Arial"/>
          <w:i/>
          <w:sz w:val="20"/>
          <w:szCs w:val="20"/>
        </w:rPr>
        <w:t xml:space="preserve"> hoch-liquide ist und bereits Verhandlungen für eine Vielzahl großvolumiger Transaktionen </w:t>
      </w:r>
      <w:r w:rsidR="00635762" w:rsidRPr="00822CF9">
        <w:rPr>
          <w:rFonts w:ascii="Arial" w:hAnsi="Arial" w:cs="Arial"/>
          <w:i/>
          <w:sz w:val="20"/>
          <w:szCs w:val="20"/>
        </w:rPr>
        <w:t xml:space="preserve">zum Jahresende </w:t>
      </w:r>
      <w:r w:rsidR="003F4D62" w:rsidRPr="00822CF9">
        <w:rPr>
          <w:rFonts w:ascii="Arial" w:hAnsi="Arial" w:cs="Arial"/>
          <w:i/>
          <w:sz w:val="20"/>
          <w:szCs w:val="20"/>
        </w:rPr>
        <w:t xml:space="preserve">laufen, heben wir unsere Prognose für </w:t>
      </w:r>
      <w:r w:rsidR="00822CF9">
        <w:rPr>
          <w:rFonts w:ascii="Arial" w:hAnsi="Arial" w:cs="Arial"/>
          <w:i/>
          <w:sz w:val="20"/>
          <w:szCs w:val="20"/>
        </w:rPr>
        <w:t>Ende 2021</w:t>
      </w:r>
      <w:r w:rsidR="003F4D62" w:rsidRPr="00822CF9">
        <w:rPr>
          <w:rFonts w:ascii="Arial" w:hAnsi="Arial" w:cs="Arial"/>
          <w:i/>
          <w:sz w:val="20"/>
          <w:szCs w:val="20"/>
        </w:rPr>
        <w:t xml:space="preserve"> auf nun 8,5 Milliarden Euro an.“</w:t>
      </w:r>
      <w:r w:rsidR="00CD5FA7" w:rsidRPr="00822CF9">
        <w:rPr>
          <w:rFonts w:ascii="Arial" w:hAnsi="Arial" w:cs="Arial"/>
          <w:sz w:val="20"/>
          <w:szCs w:val="20"/>
        </w:rPr>
        <w:t xml:space="preserve"> </w:t>
      </w:r>
    </w:p>
    <w:p w14:paraId="2CE8AC6A" w14:textId="353B035F" w:rsidR="00906FC5" w:rsidRPr="00D35A6D" w:rsidRDefault="00906FC5" w:rsidP="00906FC5">
      <w:pPr>
        <w:spacing w:after="0" w:line="360" w:lineRule="auto"/>
        <w:rPr>
          <w:rFonts w:ascii="Arial" w:hAnsi="Arial" w:cs="Arial"/>
          <w:sz w:val="18"/>
          <w:szCs w:val="20"/>
        </w:rPr>
      </w:pPr>
    </w:p>
    <w:p w14:paraId="79CA357A" w14:textId="58F908D1" w:rsidR="000A5ED1" w:rsidRPr="00D35A6D" w:rsidRDefault="00365AF8" w:rsidP="00365AF8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D35A6D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79D59530" w14:textId="16747D6F" w:rsidR="00F97A65" w:rsidRDefault="00903598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Angesichts der </w:t>
      </w:r>
      <w:r w:rsidR="00822CF9">
        <w:rPr>
          <w:rFonts w:ascii="Arial" w:hAnsi="Arial" w:cs="Arial"/>
          <w:sz w:val="20"/>
          <w:szCs w:val="20"/>
        </w:rPr>
        <w:t>Verkäufe des</w:t>
      </w:r>
      <w:r w:rsidR="00EF69E4">
        <w:rPr>
          <w:rFonts w:ascii="Arial" w:hAnsi="Arial" w:cs="Arial"/>
          <w:sz w:val="20"/>
          <w:szCs w:val="20"/>
        </w:rPr>
        <w:t xml:space="preserve"> „Fürst“ und </w:t>
      </w:r>
      <w:r w:rsidR="00822CF9">
        <w:rPr>
          <w:rFonts w:ascii="Arial" w:hAnsi="Arial" w:cs="Arial"/>
          <w:sz w:val="20"/>
          <w:szCs w:val="20"/>
        </w:rPr>
        <w:t xml:space="preserve">der </w:t>
      </w:r>
      <w:r w:rsidR="00EF69E4">
        <w:rPr>
          <w:rFonts w:ascii="Arial" w:hAnsi="Arial" w:cs="Arial"/>
          <w:sz w:val="20"/>
          <w:szCs w:val="20"/>
        </w:rPr>
        <w:t>„Victoriastadt Lofts“</w:t>
      </w:r>
      <w:r>
        <w:rPr>
          <w:rFonts w:ascii="Arial" w:hAnsi="Arial" w:cs="Arial"/>
          <w:sz w:val="20"/>
          <w:szCs w:val="20"/>
        </w:rPr>
        <w:t xml:space="preserve"> belief sich der Anteil der </w:t>
      </w:r>
      <w:r w:rsidRPr="00F56D0A">
        <w:rPr>
          <w:rFonts w:ascii="Arial" w:hAnsi="Arial" w:cs="Arial"/>
          <w:sz w:val="20"/>
          <w:szCs w:val="20"/>
          <w:u w:val="single"/>
        </w:rPr>
        <w:t>Größenklasse</w:t>
      </w:r>
      <w:r w:rsidR="00E603A4">
        <w:rPr>
          <w:rFonts w:ascii="Arial" w:hAnsi="Arial" w:cs="Arial"/>
          <w:sz w:val="20"/>
          <w:szCs w:val="20"/>
        </w:rPr>
        <w:t xml:space="preserve"> über 100 Mio. € auf 69</w:t>
      </w:r>
      <w:r>
        <w:rPr>
          <w:rFonts w:ascii="Arial" w:hAnsi="Arial" w:cs="Arial"/>
          <w:sz w:val="20"/>
          <w:szCs w:val="20"/>
        </w:rPr>
        <w:t xml:space="preserve"> % (3Q2020: 44 %)</w:t>
      </w:r>
      <w:r w:rsidR="00F97A6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56D0A">
        <w:rPr>
          <w:rFonts w:ascii="Arial" w:hAnsi="Arial" w:cs="Arial"/>
          <w:sz w:val="20"/>
          <w:szCs w:val="20"/>
        </w:rPr>
        <w:t xml:space="preserve">Die Größensegmente von 51 bis 100 Mio. € und von 26 bis 50 Mio. € spielten mit </w:t>
      </w:r>
      <w:r w:rsidR="00581A6D">
        <w:rPr>
          <w:rFonts w:ascii="Arial" w:hAnsi="Arial" w:cs="Arial"/>
          <w:sz w:val="20"/>
          <w:szCs w:val="20"/>
        </w:rPr>
        <w:t>Anteile</w:t>
      </w:r>
      <w:r w:rsidR="00F56D0A">
        <w:rPr>
          <w:rFonts w:ascii="Arial" w:hAnsi="Arial" w:cs="Arial"/>
          <w:sz w:val="20"/>
          <w:szCs w:val="20"/>
        </w:rPr>
        <w:t>n von</w:t>
      </w:r>
      <w:r w:rsidR="00581A6D">
        <w:rPr>
          <w:rFonts w:ascii="Arial" w:hAnsi="Arial" w:cs="Arial"/>
          <w:sz w:val="20"/>
          <w:szCs w:val="20"/>
        </w:rPr>
        <w:t xml:space="preserve"> </w:t>
      </w:r>
      <w:r w:rsidR="00E603A4">
        <w:rPr>
          <w:rFonts w:ascii="Arial" w:hAnsi="Arial" w:cs="Arial"/>
          <w:sz w:val="20"/>
          <w:szCs w:val="20"/>
        </w:rPr>
        <w:t>16 % und 10</w:t>
      </w:r>
      <w:r w:rsidR="00F56D0A">
        <w:rPr>
          <w:rFonts w:ascii="Arial" w:hAnsi="Arial" w:cs="Arial"/>
          <w:sz w:val="20"/>
          <w:szCs w:val="20"/>
        </w:rPr>
        <w:t xml:space="preserve"> % eine </w:t>
      </w:r>
      <w:r w:rsidR="00305A36">
        <w:rPr>
          <w:rFonts w:ascii="Arial" w:hAnsi="Arial" w:cs="Arial"/>
          <w:sz w:val="20"/>
          <w:szCs w:val="20"/>
        </w:rPr>
        <w:t>marginale</w:t>
      </w:r>
      <w:r w:rsidR="00F56D0A">
        <w:rPr>
          <w:rFonts w:ascii="Arial" w:hAnsi="Arial" w:cs="Arial"/>
          <w:sz w:val="20"/>
          <w:szCs w:val="20"/>
        </w:rPr>
        <w:t xml:space="preserve"> Rolle. Verglichen mit </w:t>
      </w:r>
      <w:r w:rsidR="00EF69E4">
        <w:rPr>
          <w:rFonts w:ascii="Arial" w:hAnsi="Arial" w:cs="Arial"/>
          <w:sz w:val="20"/>
          <w:szCs w:val="20"/>
        </w:rPr>
        <w:t xml:space="preserve">dem 3. Quartal </w:t>
      </w:r>
      <w:r w:rsidR="00F56D0A">
        <w:rPr>
          <w:rFonts w:ascii="Arial" w:hAnsi="Arial" w:cs="Arial"/>
          <w:sz w:val="20"/>
          <w:szCs w:val="20"/>
        </w:rPr>
        <w:t xml:space="preserve">2020 </w:t>
      </w:r>
      <w:r w:rsidR="00305A36">
        <w:rPr>
          <w:rFonts w:ascii="Arial" w:hAnsi="Arial" w:cs="Arial"/>
          <w:sz w:val="20"/>
          <w:szCs w:val="20"/>
        </w:rPr>
        <w:t xml:space="preserve">halbierten sie </w:t>
      </w:r>
      <w:r w:rsidR="00F56D0A">
        <w:rPr>
          <w:rFonts w:ascii="Arial" w:hAnsi="Arial" w:cs="Arial"/>
          <w:sz w:val="20"/>
          <w:szCs w:val="20"/>
        </w:rPr>
        <w:t>sich.</w:t>
      </w:r>
    </w:p>
    <w:p w14:paraId="782FBBAE" w14:textId="1CC9619C" w:rsidR="00F04CF3" w:rsidRDefault="00822CF9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F04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„Fürst“-Transaktion</w:t>
      </w:r>
      <w:r w:rsidR="00F04CF3">
        <w:rPr>
          <w:rFonts w:ascii="Arial" w:hAnsi="Arial" w:cs="Arial"/>
          <w:sz w:val="20"/>
          <w:szCs w:val="20"/>
        </w:rPr>
        <w:t xml:space="preserve"> führte auch dazu, dass der Anteil von </w:t>
      </w:r>
      <w:r w:rsidR="00F04CF3" w:rsidRPr="00F04CF3">
        <w:rPr>
          <w:rFonts w:ascii="Arial" w:hAnsi="Arial" w:cs="Arial"/>
          <w:sz w:val="20"/>
          <w:szCs w:val="20"/>
          <w:u w:val="single"/>
        </w:rPr>
        <w:t>Portfoliotransaktionen</w:t>
      </w:r>
      <w:r w:rsidR="00F04CF3">
        <w:rPr>
          <w:rFonts w:ascii="Arial" w:hAnsi="Arial" w:cs="Arial"/>
          <w:sz w:val="20"/>
          <w:szCs w:val="20"/>
        </w:rPr>
        <w:t xml:space="preserve"> innerhalb </w:t>
      </w:r>
      <w:r w:rsidR="00E603A4">
        <w:rPr>
          <w:rFonts w:ascii="Arial" w:hAnsi="Arial" w:cs="Arial"/>
          <w:sz w:val="20"/>
          <w:szCs w:val="20"/>
        </w:rPr>
        <w:t>eines Jahres von 55 % auf nun 14</w:t>
      </w:r>
      <w:r w:rsidR="00F04CF3">
        <w:rPr>
          <w:rFonts w:ascii="Arial" w:hAnsi="Arial" w:cs="Arial"/>
          <w:sz w:val="20"/>
          <w:szCs w:val="20"/>
        </w:rPr>
        <w:t xml:space="preserve"> % abnahm.</w:t>
      </w:r>
    </w:p>
    <w:p w14:paraId="4B552B3F" w14:textId="1F7FB911" w:rsidR="00933C0C" w:rsidRDefault="00930E06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05A36">
        <w:rPr>
          <w:rFonts w:ascii="Arial" w:hAnsi="Arial" w:cs="Arial"/>
          <w:sz w:val="20"/>
          <w:szCs w:val="20"/>
        </w:rPr>
        <w:t xml:space="preserve">ie </w:t>
      </w:r>
      <w:proofErr w:type="spellStart"/>
      <w:r w:rsidR="00305A36" w:rsidRPr="00305A36">
        <w:rPr>
          <w:rFonts w:ascii="Arial" w:hAnsi="Arial" w:cs="Arial"/>
          <w:sz w:val="20"/>
          <w:szCs w:val="20"/>
          <w:u w:val="single"/>
        </w:rPr>
        <w:t>Assetklasse</w:t>
      </w:r>
      <w:proofErr w:type="spellEnd"/>
      <w:r w:rsidR="00305A36">
        <w:rPr>
          <w:rFonts w:ascii="Arial" w:hAnsi="Arial" w:cs="Arial"/>
          <w:sz w:val="20"/>
          <w:szCs w:val="20"/>
        </w:rPr>
        <w:t xml:space="preserve"> Mischnutzung </w:t>
      </w:r>
      <w:r>
        <w:rPr>
          <w:rFonts w:ascii="Arial" w:hAnsi="Arial" w:cs="Arial"/>
          <w:sz w:val="20"/>
          <w:szCs w:val="20"/>
        </w:rPr>
        <w:t xml:space="preserve">setzte sich </w:t>
      </w:r>
      <w:r w:rsidR="00305A36">
        <w:rPr>
          <w:rFonts w:ascii="Arial" w:hAnsi="Arial" w:cs="Arial"/>
          <w:sz w:val="20"/>
          <w:szCs w:val="20"/>
        </w:rPr>
        <w:t xml:space="preserve">mit einem Anteil von </w:t>
      </w:r>
      <w:r w:rsidR="00E603A4">
        <w:rPr>
          <w:rFonts w:ascii="Arial" w:hAnsi="Arial" w:cs="Arial"/>
          <w:sz w:val="20"/>
          <w:szCs w:val="20"/>
        </w:rPr>
        <w:t>39</w:t>
      </w:r>
      <w:r w:rsidR="00305A36">
        <w:rPr>
          <w:rFonts w:ascii="Arial" w:hAnsi="Arial" w:cs="Arial"/>
          <w:sz w:val="20"/>
          <w:szCs w:val="20"/>
        </w:rPr>
        <w:t xml:space="preserve"> % am Transaktionsvolumen (3Q2020: 17 %) </w:t>
      </w:r>
      <w:r w:rsidR="00EF69E4">
        <w:rPr>
          <w:rFonts w:ascii="Arial" w:hAnsi="Arial" w:cs="Arial"/>
          <w:sz w:val="20"/>
          <w:szCs w:val="20"/>
        </w:rPr>
        <w:t xml:space="preserve">knapp </w:t>
      </w:r>
      <w:r w:rsidR="00305A36">
        <w:rPr>
          <w:rFonts w:ascii="Arial" w:hAnsi="Arial" w:cs="Arial"/>
          <w:sz w:val="20"/>
          <w:szCs w:val="20"/>
        </w:rPr>
        <w:t>vor die traditionell stär</w:t>
      </w:r>
      <w:r w:rsidR="00E603A4">
        <w:rPr>
          <w:rFonts w:ascii="Arial" w:hAnsi="Arial" w:cs="Arial"/>
          <w:sz w:val="20"/>
          <w:szCs w:val="20"/>
        </w:rPr>
        <w:t>kste Objektkategorie Büro mit 38</w:t>
      </w:r>
      <w:r w:rsidR="00305A36">
        <w:rPr>
          <w:rFonts w:ascii="Arial" w:hAnsi="Arial" w:cs="Arial"/>
          <w:sz w:val="20"/>
          <w:szCs w:val="20"/>
        </w:rPr>
        <w:t xml:space="preserve"> % (3Q2020: 57 %)</w:t>
      </w:r>
      <w:r w:rsidR="00933C0C">
        <w:rPr>
          <w:rFonts w:ascii="Arial" w:hAnsi="Arial" w:cs="Arial"/>
          <w:sz w:val="20"/>
          <w:szCs w:val="20"/>
        </w:rPr>
        <w:t>.</w:t>
      </w:r>
      <w:r w:rsidR="006476B4">
        <w:rPr>
          <w:rFonts w:ascii="Arial" w:hAnsi="Arial" w:cs="Arial"/>
          <w:sz w:val="20"/>
          <w:szCs w:val="20"/>
        </w:rPr>
        <w:t xml:space="preserve"> Aufgrund des „Victoriastadt Lofts“</w:t>
      </w:r>
      <w:r w:rsidR="00822CF9">
        <w:rPr>
          <w:rFonts w:ascii="Arial" w:hAnsi="Arial" w:cs="Arial"/>
          <w:sz w:val="20"/>
          <w:szCs w:val="20"/>
        </w:rPr>
        <w:t>-Deals</w:t>
      </w:r>
      <w:r w:rsidR="006476B4">
        <w:rPr>
          <w:rFonts w:ascii="Arial" w:hAnsi="Arial" w:cs="Arial"/>
          <w:sz w:val="20"/>
          <w:szCs w:val="20"/>
        </w:rPr>
        <w:t xml:space="preserve"> im 3. Quartal, der bisher größten Büro-Transaktion des Jahres, fiel der Anteil der Mischnutzungen nicht noch höher aus.</w:t>
      </w:r>
    </w:p>
    <w:p w14:paraId="430BFC54" w14:textId="57261EA6" w:rsidR="00360D71" w:rsidRPr="00E50B1B" w:rsidRDefault="00305A36" w:rsidP="005659D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E50B1B">
        <w:rPr>
          <w:rFonts w:ascii="Arial" w:hAnsi="Arial" w:cs="Arial"/>
          <w:sz w:val="20"/>
          <w:szCs w:val="20"/>
        </w:rPr>
        <w:t xml:space="preserve">Mit einem Anteil von </w:t>
      </w:r>
      <w:r w:rsidR="006476B4" w:rsidRPr="00E50B1B">
        <w:rPr>
          <w:rFonts w:ascii="Arial" w:hAnsi="Arial" w:cs="Arial"/>
          <w:sz w:val="20"/>
          <w:szCs w:val="20"/>
        </w:rPr>
        <w:t>38</w:t>
      </w:r>
      <w:r w:rsidRPr="00E50B1B">
        <w:rPr>
          <w:rFonts w:ascii="Arial" w:hAnsi="Arial" w:cs="Arial"/>
          <w:sz w:val="20"/>
          <w:szCs w:val="20"/>
        </w:rPr>
        <w:t xml:space="preserve"> % dominierten Fondsmanager die Gruppe der </w:t>
      </w:r>
      <w:r w:rsidRPr="00E50B1B">
        <w:rPr>
          <w:rFonts w:ascii="Arial" w:hAnsi="Arial" w:cs="Arial"/>
          <w:sz w:val="20"/>
          <w:szCs w:val="20"/>
          <w:u w:val="single"/>
        </w:rPr>
        <w:t>Käufer</w:t>
      </w:r>
      <w:r w:rsidRPr="00E50B1B">
        <w:rPr>
          <w:rFonts w:ascii="Arial" w:hAnsi="Arial" w:cs="Arial"/>
          <w:sz w:val="20"/>
          <w:szCs w:val="20"/>
        </w:rPr>
        <w:t xml:space="preserve"> (3Q2020: 9 %)</w:t>
      </w:r>
      <w:r w:rsidR="006C5A77" w:rsidRPr="00E50B1B">
        <w:rPr>
          <w:rFonts w:ascii="Arial" w:hAnsi="Arial" w:cs="Arial"/>
          <w:sz w:val="20"/>
          <w:szCs w:val="20"/>
        </w:rPr>
        <w:t xml:space="preserve"> vor den Projektentwicklern mit </w:t>
      </w:r>
      <w:r w:rsidR="00CD11F5" w:rsidRPr="00E50B1B">
        <w:rPr>
          <w:rFonts w:ascii="Arial" w:hAnsi="Arial" w:cs="Arial"/>
          <w:sz w:val="20"/>
          <w:szCs w:val="20"/>
        </w:rPr>
        <w:t>18 %, Versicherungen mit 13 % und Spezialfonds mit 10%</w:t>
      </w:r>
      <w:r w:rsidRPr="00E50B1B">
        <w:rPr>
          <w:rFonts w:ascii="Arial" w:hAnsi="Arial" w:cs="Arial"/>
          <w:sz w:val="20"/>
          <w:szCs w:val="20"/>
        </w:rPr>
        <w:t>.</w:t>
      </w:r>
      <w:r w:rsidR="00E50B1B" w:rsidRPr="00E50B1B">
        <w:rPr>
          <w:rFonts w:ascii="Arial" w:hAnsi="Arial" w:cs="Arial"/>
          <w:sz w:val="20"/>
          <w:szCs w:val="20"/>
        </w:rPr>
        <w:t xml:space="preserve"> </w:t>
      </w:r>
      <w:r w:rsidRPr="00E50B1B">
        <w:rPr>
          <w:rFonts w:ascii="Arial" w:hAnsi="Arial" w:cs="Arial"/>
          <w:sz w:val="20"/>
          <w:szCs w:val="20"/>
        </w:rPr>
        <w:t xml:space="preserve">Bei den </w:t>
      </w:r>
      <w:r w:rsidRPr="00E50B1B">
        <w:rPr>
          <w:rFonts w:ascii="Arial" w:hAnsi="Arial" w:cs="Arial"/>
          <w:sz w:val="20"/>
          <w:szCs w:val="20"/>
          <w:u w:val="single"/>
        </w:rPr>
        <w:t>Verkäufern</w:t>
      </w:r>
      <w:r w:rsidRPr="00E50B1B">
        <w:rPr>
          <w:rFonts w:ascii="Arial" w:hAnsi="Arial" w:cs="Arial"/>
          <w:sz w:val="20"/>
          <w:szCs w:val="20"/>
        </w:rPr>
        <w:t xml:space="preserve"> </w:t>
      </w:r>
      <w:r w:rsidR="00CD11F5" w:rsidRPr="00E50B1B">
        <w:rPr>
          <w:rFonts w:ascii="Arial" w:hAnsi="Arial" w:cs="Arial"/>
          <w:sz w:val="20"/>
          <w:szCs w:val="20"/>
        </w:rPr>
        <w:t xml:space="preserve">kamen sowohl die Projektentwickler als auch die nicht-börsennotierten Immobiliengesellschaften auf </w:t>
      </w:r>
      <w:r w:rsidRPr="00E50B1B">
        <w:rPr>
          <w:rFonts w:ascii="Arial" w:hAnsi="Arial" w:cs="Arial"/>
          <w:sz w:val="20"/>
          <w:szCs w:val="20"/>
        </w:rPr>
        <w:t>Anteile um ein Viertel</w:t>
      </w:r>
      <w:r w:rsidR="00CD11F5" w:rsidRPr="00E50B1B">
        <w:rPr>
          <w:rFonts w:ascii="Arial" w:hAnsi="Arial" w:cs="Arial"/>
          <w:sz w:val="20"/>
          <w:szCs w:val="20"/>
        </w:rPr>
        <w:t>.</w:t>
      </w:r>
    </w:p>
    <w:p w14:paraId="620ADA57" w14:textId="2A0A644D" w:rsidR="005B2D0D" w:rsidRDefault="009C6CB6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9C6CB6">
        <w:rPr>
          <w:rFonts w:ascii="Arial" w:hAnsi="Arial" w:cs="Arial"/>
          <w:sz w:val="20"/>
          <w:szCs w:val="20"/>
          <w:u w:val="single"/>
        </w:rPr>
        <w:t>Internationale Investoren</w:t>
      </w:r>
      <w:r>
        <w:rPr>
          <w:rFonts w:ascii="Arial" w:hAnsi="Arial" w:cs="Arial"/>
          <w:sz w:val="20"/>
          <w:szCs w:val="20"/>
        </w:rPr>
        <w:t xml:space="preserve"> waren in Berlin sowohl auf Käuferseite mit </w:t>
      </w:r>
      <w:r w:rsidR="00CD11F5">
        <w:rPr>
          <w:rFonts w:ascii="Arial" w:hAnsi="Arial" w:cs="Arial"/>
          <w:sz w:val="20"/>
          <w:szCs w:val="20"/>
        </w:rPr>
        <w:t>62</w:t>
      </w:r>
      <w:r>
        <w:rPr>
          <w:rFonts w:ascii="Arial" w:hAnsi="Arial" w:cs="Arial"/>
          <w:sz w:val="20"/>
          <w:szCs w:val="20"/>
        </w:rPr>
        <w:t xml:space="preserve"> % </w:t>
      </w:r>
      <w:r w:rsidR="00A31468">
        <w:rPr>
          <w:rFonts w:ascii="Arial" w:hAnsi="Arial" w:cs="Arial"/>
          <w:sz w:val="20"/>
          <w:szCs w:val="20"/>
        </w:rPr>
        <w:t>(</w:t>
      </w:r>
      <w:r w:rsidR="00A31468" w:rsidRPr="00305A36">
        <w:rPr>
          <w:rFonts w:ascii="Arial" w:hAnsi="Arial" w:cs="Arial"/>
          <w:sz w:val="20"/>
          <w:szCs w:val="20"/>
        </w:rPr>
        <w:t>3Q2020:</w:t>
      </w:r>
      <w:r w:rsidR="00A31468">
        <w:rPr>
          <w:rFonts w:ascii="Arial" w:hAnsi="Arial" w:cs="Arial"/>
          <w:sz w:val="20"/>
          <w:szCs w:val="20"/>
        </w:rPr>
        <w:t xml:space="preserve"> 65 %) </w:t>
      </w:r>
      <w:r>
        <w:rPr>
          <w:rFonts w:ascii="Arial" w:hAnsi="Arial" w:cs="Arial"/>
          <w:sz w:val="20"/>
          <w:szCs w:val="20"/>
        </w:rPr>
        <w:t xml:space="preserve">als auch auf Verkäuferseite mit </w:t>
      </w:r>
      <w:r w:rsidR="00CD11F5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 xml:space="preserve"> % </w:t>
      </w:r>
      <w:r w:rsidR="00A31468">
        <w:rPr>
          <w:rFonts w:ascii="Arial" w:hAnsi="Arial" w:cs="Arial"/>
          <w:sz w:val="20"/>
          <w:szCs w:val="20"/>
        </w:rPr>
        <w:t>(</w:t>
      </w:r>
      <w:r w:rsidR="00A31468" w:rsidRPr="00305A36">
        <w:rPr>
          <w:rFonts w:ascii="Arial" w:hAnsi="Arial" w:cs="Arial"/>
          <w:sz w:val="20"/>
          <w:szCs w:val="20"/>
        </w:rPr>
        <w:t>3Q2020:</w:t>
      </w:r>
      <w:r w:rsidR="00A31468">
        <w:rPr>
          <w:rFonts w:ascii="Arial" w:hAnsi="Arial" w:cs="Arial"/>
          <w:sz w:val="20"/>
          <w:szCs w:val="20"/>
        </w:rPr>
        <w:t xml:space="preserve"> 66 %) </w:t>
      </w:r>
      <w:r>
        <w:rPr>
          <w:rFonts w:ascii="Arial" w:hAnsi="Arial" w:cs="Arial"/>
          <w:sz w:val="20"/>
          <w:szCs w:val="20"/>
        </w:rPr>
        <w:t>weniger aktiv</w:t>
      </w:r>
      <w:r w:rsidR="00A31468">
        <w:rPr>
          <w:rFonts w:ascii="Arial" w:hAnsi="Arial" w:cs="Arial"/>
          <w:sz w:val="20"/>
          <w:szCs w:val="20"/>
        </w:rPr>
        <w:t xml:space="preserve"> als vor einem Jahr</w:t>
      </w:r>
      <w:r>
        <w:rPr>
          <w:rFonts w:ascii="Arial" w:hAnsi="Arial" w:cs="Arial"/>
          <w:sz w:val="20"/>
          <w:szCs w:val="20"/>
        </w:rPr>
        <w:t>.</w:t>
      </w:r>
    </w:p>
    <w:p w14:paraId="7D76FF5E" w14:textId="6EF330C6" w:rsidR="005B2D0D" w:rsidRDefault="00C003EA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Langfristige Mietverträge mit der öffentlichen Hand sorg</w:t>
      </w:r>
      <w:r w:rsidR="00E50B1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</w:t>
      </w:r>
      <w:r w:rsidR="00EF69E4">
        <w:rPr>
          <w:rFonts w:ascii="Arial" w:hAnsi="Arial" w:cs="Arial"/>
          <w:sz w:val="20"/>
          <w:szCs w:val="20"/>
        </w:rPr>
        <w:t xml:space="preserve"> weiterhin</w:t>
      </w:r>
      <w:r>
        <w:rPr>
          <w:rFonts w:ascii="Arial" w:hAnsi="Arial" w:cs="Arial"/>
          <w:sz w:val="20"/>
          <w:szCs w:val="20"/>
        </w:rPr>
        <w:t xml:space="preserve"> für Höchstpreise und eine nochmals sinkende Büro-</w:t>
      </w:r>
      <w:r w:rsidRPr="00C003EA">
        <w:rPr>
          <w:rFonts w:ascii="Arial" w:hAnsi="Arial" w:cs="Arial"/>
          <w:sz w:val="20"/>
          <w:szCs w:val="20"/>
          <w:u w:val="single"/>
        </w:rPr>
        <w:t>Spitzenrendite</w:t>
      </w:r>
      <w:r>
        <w:rPr>
          <w:rFonts w:ascii="Arial" w:hAnsi="Arial" w:cs="Arial"/>
          <w:sz w:val="20"/>
          <w:szCs w:val="20"/>
        </w:rPr>
        <w:t xml:space="preserve"> auf nun 2,65 %.</w:t>
      </w:r>
    </w:p>
    <w:p w14:paraId="0119A0C6" w14:textId="039731D3" w:rsidR="0086528D" w:rsidRDefault="00C82F1D" w:rsidP="00B35908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6476B4">
        <w:rPr>
          <w:rFonts w:ascii="Arial" w:hAnsi="Arial" w:cs="Arial"/>
          <w:sz w:val="20"/>
          <w:szCs w:val="20"/>
        </w:rPr>
        <w:lastRenderedPageBreak/>
        <w:t xml:space="preserve">Der </w:t>
      </w:r>
      <w:r w:rsidRPr="006476B4">
        <w:rPr>
          <w:rFonts w:ascii="Arial" w:hAnsi="Arial" w:cs="Arial"/>
          <w:sz w:val="20"/>
          <w:szCs w:val="20"/>
          <w:u w:val="single"/>
        </w:rPr>
        <w:t>Teilmarkt</w:t>
      </w:r>
      <w:r w:rsidRPr="006476B4">
        <w:rPr>
          <w:rFonts w:ascii="Arial" w:hAnsi="Arial" w:cs="Arial"/>
          <w:sz w:val="20"/>
          <w:szCs w:val="20"/>
        </w:rPr>
        <w:t xml:space="preserve"> Ku’damm plus Seitenstraße dominiert</w:t>
      </w:r>
      <w:r w:rsidR="00995499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Pr="006476B4">
        <w:rPr>
          <w:rFonts w:ascii="Arial" w:hAnsi="Arial" w:cs="Arial"/>
          <w:sz w:val="20"/>
          <w:szCs w:val="20"/>
        </w:rPr>
        <w:t xml:space="preserve"> mit einem Anteil von rund einem Drittel vor </w:t>
      </w:r>
      <w:r w:rsidR="00CD11F5">
        <w:rPr>
          <w:rFonts w:ascii="Arial" w:hAnsi="Arial" w:cs="Arial"/>
          <w:sz w:val="20"/>
          <w:szCs w:val="20"/>
        </w:rPr>
        <w:t>dem Teilmarkt Peripherie-Ost</w:t>
      </w:r>
      <w:r w:rsidRPr="006476B4">
        <w:rPr>
          <w:rFonts w:ascii="Arial" w:hAnsi="Arial" w:cs="Arial"/>
          <w:sz w:val="20"/>
          <w:szCs w:val="20"/>
        </w:rPr>
        <w:t xml:space="preserve"> und </w:t>
      </w:r>
      <w:r w:rsidR="00CD11F5">
        <w:rPr>
          <w:rFonts w:ascii="Arial" w:hAnsi="Arial" w:cs="Arial"/>
          <w:sz w:val="20"/>
          <w:szCs w:val="20"/>
        </w:rPr>
        <w:t xml:space="preserve">Friedrichshain </w:t>
      </w:r>
      <w:r w:rsidRPr="006476B4">
        <w:rPr>
          <w:rFonts w:ascii="Arial" w:hAnsi="Arial" w:cs="Arial"/>
          <w:sz w:val="20"/>
          <w:szCs w:val="20"/>
        </w:rPr>
        <w:t xml:space="preserve">mit Anteilen von </w:t>
      </w:r>
      <w:r w:rsidR="00CD11F5">
        <w:rPr>
          <w:rFonts w:ascii="Arial" w:hAnsi="Arial" w:cs="Arial"/>
          <w:sz w:val="20"/>
          <w:szCs w:val="20"/>
        </w:rPr>
        <w:t>12 bzw. 10 %</w:t>
      </w:r>
      <w:r w:rsidRPr="006476B4">
        <w:rPr>
          <w:rFonts w:ascii="Arial" w:hAnsi="Arial" w:cs="Arial"/>
          <w:sz w:val="20"/>
          <w:szCs w:val="20"/>
        </w:rPr>
        <w:t xml:space="preserve">. Grund auch hier: die Veräußerung des „Fürst“. </w:t>
      </w:r>
    </w:p>
    <w:p w14:paraId="5C79D0FC" w14:textId="3F9B58BB" w:rsidR="005E47AA" w:rsidRPr="006476B4" w:rsidRDefault="005E47AA" w:rsidP="005E47AA">
      <w:pPr>
        <w:pStyle w:val="Listenabsatz"/>
        <w:spacing w:after="0" w:line="36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47C12160" wp14:editId="1B97218B">
            <wp:simplePos x="0" y="0"/>
            <wp:positionH relativeFrom="margin">
              <wp:posOffset>3337560</wp:posOffset>
            </wp:positionH>
            <wp:positionV relativeFrom="paragraph">
              <wp:posOffset>297510</wp:posOffset>
            </wp:positionV>
            <wp:extent cx="2757805" cy="1941830"/>
            <wp:effectExtent l="19050" t="19050" r="23495" b="203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V_BerlinQ1-3_n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19418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2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823"/>
        <w:gridCol w:w="1327"/>
      </w:tblGrid>
      <w:tr w:rsidR="00F67EAF" w:rsidRPr="006F49D0" w14:paraId="4C2432D5" w14:textId="77777777" w:rsidTr="00F67EAF">
        <w:trPr>
          <w:trHeight w:val="283"/>
        </w:trPr>
        <w:tc>
          <w:tcPr>
            <w:tcW w:w="0" w:type="auto"/>
            <w:shd w:val="clear" w:color="auto" w:fill="1F242B" w:themeFill="accent2"/>
          </w:tcPr>
          <w:p w14:paraId="4B0553A5" w14:textId="0C2D69E4" w:rsidR="00F67EAF" w:rsidRPr="004712BA" w:rsidRDefault="00F67EAF" w:rsidP="00F67EAF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Investmentmarkt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 w:rsidR="00424033">
              <w:rPr>
                <w:rFonts w:ascii="Arial" w:hAnsi="Arial" w:cs="Arial"/>
                <w:b/>
                <w:sz w:val="20"/>
                <w:szCs w:val="20"/>
              </w:rPr>
              <w:t xml:space="preserve"> Berlin</w:t>
            </w:r>
            <w:r>
              <w:t xml:space="preserve">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shd w:val="clear" w:color="auto" w:fill="1F242B" w:themeFill="accent2"/>
          </w:tcPr>
          <w:p w14:paraId="2666ADBF" w14:textId="382B3481" w:rsidR="00F67EAF" w:rsidRPr="004712BA" w:rsidRDefault="00F67EAF" w:rsidP="00F67EAF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Q</w:t>
            </w: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D67511">
              <w:rPr>
                <w:rFonts w:ascii="Arial" w:hAnsi="Arial" w:cs="Arial"/>
                <w:b/>
                <w:sz w:val="18"/>
                <w:szCs w:val="16"/>
              </w:rPr>
              <w:t>-3</w:t>
            </w:r>
          </w:p>
        </w:tc>
      </w:tr>
      <w:tr w:rsidR="00F67EAF" w:rsidRPr="006F49D0" w14:paraId="4B06E1C6" w14:textId="77777777" w:rsidTr="00F67EAF">
        <w:trPr>
          <w:trHeight w:val="283"/>
        </w:trPr>
        <w:tc>
          <w:tcPr>
            <w:tcW w:w="3823" w:type="dxa"/>
          </w:tcPr>
          <w:p w14:paraId="23BEE2EF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Pr="004712BA">
              <w:rPr>
                <w:rFonts w:ascii="Arial" w:hAnsi="Arial" w:cs="Arial"/>
                <w:sz w:val="18"/>
                <w:szCs w:val="16"/>
              </w:rPr>
              <w:t>Mio.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6D149E39" w14:textId="6C76C629" w:rsidR="00F67EAF" w:rsidRPr="000B7D28" w:rsidRDefault="00CD11F5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6.400</w:t>
            </w:r>
          </w:p>
        </w:tc>
      </w:tr>
      <w:tr w:rsidR="00F67EAF" w:rsidRPr="006F49D0" w14:paraId="09A01916" w14:textId="77777777" w:rsidTr="00F67EAF">
        <w:trPr>
          <w:trHeight w:val="283"/>
        </w:trPr>
        <w:tc>
          <w:tcPr>
            <w:tcW w:w="3823" w:type="dxa"/>
          </w:tcPr>
          <w:p w14:paraId="62104683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56E0AC6" w14:textId="48AA3355" w:rsidR="00F67EAF" w:rsidRPr="00BD6652" w:rsidRDefault="008457CE" w:rsidP="00CD11F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</w:t>
            </w:r>
            <w:r w:rsidR="00CD11F5">
              <w:rPr>
                <w:rFonts w:ascii="Arial" w:hAnsi="Arial" w:cs="Arial"/>
                <w:sz w:val="18"/>
                <w:szCs w:val="16"/>
              </w:rPr>
              <w:t>35</w:t>
            </w:r>
          </w:p>
        </w:tc>
      </w:tr>
      <w:tr w:rsidR="00F67EAF" w:rsidRPr="006F49D0" w14:paraId="225182B5" w14:textId="77777777" w:rsidTr="00F67EAF">
        <w:trPr>
          <w:trHeight w:val="283"/>
        </w:trPr>
        <w:tc>
          <w:tcPr>
            <w:tcW w:w="3823" w:type="dxa"/>
          </w:tcPr>
          <w:p w14:paraId="5DEF1B96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F57DD">
              <w:rPr>
                <w:rFonts w:ascii="Arial" w:hAnsi="Arial" w:cs="Arial"/>
                <w:b/>
                <w:sz w:val="18"/>
                <w:szCs w:val="16"/>
              </w:rPr>
              <w:t>Anteil CBD</w:t>
            </w:r>
            <w:r>
              <w:rPr>
                <w:rFonts w:ascii="Arial" w:hAnsi="Arial" w:cs="Arial"/>
                <w:sz w:val="18"/>
                <w:szCs w:val="16"/>
              </w:rPr>
              <w:t xml:space="preserve"> [%]</w:t>
            </w:r>
          </w:p>
        </w:tc>
        <w:tc>
          <w:tcPr>
            <w:tcW w:w="1134" w:type="dxa"/>
            <w:vAlign w:val="center"/>
          </w:tcPr>
          <w:p w14:paraId="390224FB" w14:textId="1CD87B1D" w:rsidR="00F67EAF" w:rsidRPr="000B7D28" w:rsidRDefault="00EF69E4" w:rsidP="00EF69E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FF0000"/>
                <w:sz w:val="18"/>
                <w:szCs w:val="16"/>
              </w:rPr>
              <w:t xml:space="preserve"> </w:t>
            </w:r>
            <w:r w:rsidRPr="00E50B1B">
              <w:rPr>
                <w:rFonts w:ascii="Arial" w:hAnsi="Arial" w:cs="Arial"/>
                <w:sz w:val="18"/>
                <w:szCs w:val="16"/>
              </w:rPr>
              <w:t>39</w:t>
            </w:r>
          </w:p>
        </w:tc>
      </w:tr>
      <w:tr w:rsidR="00F67EAF" w:rsidRPr="006F49D0" w14:paraId="263CDC36" w14:textId="77777777" w:rsidTr="00F67EAF">
        <w:trPr>
          <w:trHeight w:val="283"/>
        </w:trPr>
        <w:tc>
          <w:tcPr>
            <w:tcW w:w="3823" w:type="dxa"/>
          </w:tcPr>
          <w:p w14:paraId="2C102535" w14:textId="77777777" w:rsidR="00F67EAF" w:rsidRPr="00CF57D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027038BA" w14:textId="471753C1" w:rsidR="00F67EAF" w:rsidRPr="000B7D28" w:rsidRDefault="00CD11F5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62</w:t>
            </w:r>
          </w:p>
        </w:tc>
      </w:tr>
      <w:tr w:rsidR="00F67EAF" w:rsidRPr="006F49D0" w14:paraId="6E4FA2FB" w14:textId="77777777" w:rsidTr="00F67EAF">
        <w:trPr>
          <w:trHeight w:val="283"/>
        </w:trPr>
        <w:tc>
          <w:tcPr>
            <w:tcW w:w="3823" w:type="dxa"/>
          </w:tcPr>
          <w:p w14:paraId="07D8D6A5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4AF25F3" w14:textId="606E8B81" w:rsidR="00F67EAF" w:rsidRPr="000B7D28" w:rsidRDefault="008457CE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2,65</w:t>
            </w:r>
          </w:p>
        </w:tc>
      </w:tr>
      <w:tr w:rsidR="00F67EAF" w14:paraId="54D1641E" w14:textId="77777777" w:rsidTr="00F67EAF">
        <w:trPr>
          <w:trHeight w:val="283"/>
        </w:trPr>
        <w:tc>
          <w:tcPr>
            <w:tcW w:w="3823" w:type="dxa"/>
          </w:tcPr>
          <w:p w14:paraId="002C70DF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3F2CDE3" w14:textId="1A2D2FC3" w:rsidR="00F67EAF" w:rsidRPr="000B7D28" w:rsidRDefault="00932BAE" w:rsidP="00D67511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50B1B">
              <w:rPr>
                <w:rFonts w:ascii="Arial" w:hAnsi="Arial" w:cs="Arial"/>
                <w:sz w:val="18"/>
                <w:szCs w:val="16"/>
              </w:rPr>
              <w:t>-</w:t>
            </w:r>
            <w:r w:rsidR="00D67511" w:rsidRPr="00E50B1B">
              <w:rPr>
                <w:rFonts w:ascii="Arial" w:hAnsi="Arial" w:cs="Arial"/>
                <w:sz w:val="18"/>
                <w:szCs w:val="16"/>
              </w:rPr>
              <w:t>2,00</w:t>
            </w:r>
          </w:p>
        </w:tc>
      </w:tr>
      <w:tr w:rsidR="00F67EAF" w:rsidRPr="006F49D0" w14:paraId="108BDDCF" w14:textId="77777777" w:rsidTr="00F67EAF">
        <w:trPr>
          <w:trHeight w:val="283"/>
        </w:trPr>
        <w:tc>
          <w:tcPr>
            <w:tcW w:w="3823" w:type="dxa"/>
          </w:tcPr>
          <w:p w14:paraId="7FFAB547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50095197" w14:textId="7FA13006" w:rsidR="00F67EAF" w:rsidRPr="000B7D28" w:rsidRDefault="00424033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2,8</w:t>
            </w:r>
            <w:r w:rsidR="00F67EAF" w:rsidRPr="000B7D28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F67EAF" w14:paraId="12487751" w14:textId="77777777" w:rsidTr="00F67EAF">
        <w:trPr>
          <w:trHeight w:val="283"/>
        </w:trPr>
        <w:tc>
          <w:tcPr>
            <w:tcW w:w="3823" w:type="dxa"/>
          </w:tcPr>
          <w:p w14:paraId="60C8FA68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193B4811" w14:textId="77777777" w:rsidR="00F67EAF" w:rsidRPr="000B7D28" w:rsidRDefault="00F67EAF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B7D28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F67EAF" w:rsidRPr="006F49D0" w14:paraId="3684343E" w14:textId="77777777" w:rsidTr="00F67EAF">
        <w:trPr>
          <w:trHeight w:val="283"/>
        </w:trPr>
        <w:tc>
          <w:tcPr>
            <w:tcW w:w="3823" w:type="dxa"/>
          </w:tcPr>
          <w:p w14:paraId="01160851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4549AD25" w14:textId="456D3754" w:rsidR="00F67EAF" w:rsidRPr="000B7D28" w:rsidRDefault="00F67EAF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Pr="000B7D28">
              <w:rPr>
                <w:rFonts w:ascii="Arial" w:hAnsi="Arial" w:cs="Arial"/>
                <w:sz w:val="18"/>
                <w:szCs w:val="16"/>
              </w:rPr>
              <w:t>,</w:t>
            </w:r>
            <w:r w:rsidR="00424033">
              <w:rPr>
                <w:rFonts w:ascii="Arial" w:hAnsi="Arial" w:cs="Arial"/>
                <w:sz w:val="18"/>
                <w:szCs w:val="16"/>
              </w:rPr>
              <w:t>5</w:t>
            </w:r>
          </w:p>
        </w:tc>
      </w:tr>
      <w:tr w:rsidR="00F67EAF" w14:paraId="1AE6011C" w14:textId="77777777" w:rsidTr="00F67EAF">
        <w:trPr>
          <w:trHeight w:val="283"/>
        </w:trPr>
        <w:tc>
          <w:tcPr>
            <w:tcW w:w="3823" w:type="dxa"/>
          </w:tcPr>
          <w:p w14:paraId="08D4FEA0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6E38FA44" w14:textId="3B6844BC" w:rsidR="00F67EAF" w:rsidRPr="000B7D28" w:rsidRDefault="00F67EAF" w:rsidP="00D67511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D67511">
              <w:rPr>
                <w:rFonts w:ascii="Arial" w:hAnsi="Arial" w:cs="Arial"/>
                <w:color w:val="FF0000"/>
                <w:sz w:val="18"/>
                <w:szCs w:val="16"/>
              </w:rPr>
              <w:t>-</w:t>
            </w:r>
            <w:r w:rsidR="00D67511" w:rsidRPr="00E50B1B">
              <w:rPr>
                <w:rFonts w:ascii="Arial" w:hAnsi="Arial" w:cs="Arial"/>
                <w:sz w:val="18"/>
                <w:szCs w:val="16"/>
              </w:rPr>
              <w:t>8</w:t>
            </w:r>
            <w:r w:rsidR="00217C46" w:rsidRPr="00E50B1B">
              <w:rPr>
                <w:rFonts w:ascii="Arial" w:hAnsi="Arial" w:cs="Arial"/>
                <w:sz w:val="18"/>
                <w:szCs w:val="16"/>
              </w:rPr>
              <w:t>,0</w:t>
            </w:r>
            <w:r w:rsidR="00E50B1B" w:rsidRPr="00E50B1B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F67EAF" w:rsidRPr="006F49D0" w14:paraId="73476F27" w14:textId="77777777" w:rsidTr="00F67EAF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04C55323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130F87" w14:textId="645E2ADB" w:rsidR="00F67EAF" w:rsidRPr="000B7D28" w:rsidRDefault="00932BAE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Mischnutzung</w:t>
            </w:r>
          </w:p>
        </w:tc>
      </w:tr>
      <w:tr w:rsidR="00F67EAF" w:rsidRPr="006F49D0" w14:paraId="4FA2101A" w14:textId="77777777" w:rsidTr="00F67EAF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16802574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  <w:proofErr w:type="spellEnd"/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299766" w14:textId="19452FCB" w:rsidR="00F67EAF" w:rsidRPr="000B7D28" w:rsidRDefault="00CD11F5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39</w:t>
            </w:r>
          </w:p>
        </w:tc>
      </w:tr>
    </w:tbl>
    <w:p w14:paraId="7AFFF209" w14:textId="656F00CC" w:rsidR="000A5ED1" w:rsidRDefault="000A5ED1" w:rsidP="0062200D">
      <w:pPr>
        <w:spacing w:after="0" w:line="360" w:lineRule="auto"/>
        <w:ind w:left="68"/>
        <w:textAlignment w:val="baseline"/>
        <w:rPr>
          <w:rFonts w:ascii="Arial" w:hAnsi="Arial" w:cs="Arial"/>
          <w:noProof/>
          <w:sz w:val="20"/>
          <w:szCs w:val="20"/>
          <w:lang w:eastAsia="de-DE"/>
        </w:rPr>
      </w:pPr>
    </w:p>
    <w:p w14:paraId="2C865491" w14:textId="56EBEBF8" w:rsidR="00CB561C" w:rsidRDefault="00CB561C" w:rsidP="000A5ED1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2EEA5946" w14:textId="77777777" w:rsidR="0054334C" w:rsidRDefault="0054334C" w:rsidP="004E7F0F">
      <w:pPr>
        <w:rPr>
          <w:rFonts w:ascii="Arial" w:hAnsi="Arial" w:cs="Arial"/>
          <w:b/>
          <w:sz w:val="20"/>
          <w:szCs w:val="20"/>
        </w:rPr>
      </w:pPr>
    </w:p>
    <w:p w14:paraId="513CABD7" w14:textId="06817285" w:rsidR="004E7F0F" w:rsidRPr="0054334C" w:rsidRDefault="004E7F0F" w:rsidP="005433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Ausgewählte bekannte Top-Transaktionen | Investmentmarkt </w:t>
      </w:r>
      <w:r w:rsidR="00424033">
        <w:rPr>
          <w:rFonts w:ascii="Arial" w:hAnsi="Arial" w:cs="Arial"/>
          <w:b/>
          <w:sz w:val="20"/>
          <w:szCs w:val="20"/>
        </w:rPr>
        <w:t>Berlin</w:t>
      </w:r>
      <w:r>
        <w:rPr>
          <w:rFonts w:ascii="Arial" w:hAnsi="Arial" w:cs="Arial"/>
          <w:b/>
          <w:sz w:val="20"/>
          <w:szCs w:val="20"/>
        </w:rPr>
        <w:t xml:space="preserve"> | 1.</w:t>
      </w:r>
      <w:r w:rsidR="00D67511">
        <w:rPr>
          <w:rFonts w:ascii="Arial" w:hAnsi="Arial" w:cs="Arial"/>
          <w:b/>
          <w:sz w:val="20"/>
          <w:szCs w:val="20"/>
        </w:rPr>
        <w:t>-3</w:t>
      </w:r>
      <w:r w:rsidR="008457CE">
        <w:rPr>
          <w:rFonts w:ascii="Arial" w:hAnsi="Arial" w:cs="Arial"/>
          <w:b/>
          <w:sz w:val="20"/>
          <w:szCs w:val="20"/>
        </w:rPr>
        <w:t>.</w:t>
      </w:r>
      <w:r w:rsidRPr="00EE7FCA">
        <w:rPr>
          <w:rFonts w:ascii="Arial" w:hAnsi="Arial" w:cs="Arial"/>
          <w:b/>
          <w:sz w:val="20"/>
          <w:szCs w:val="20"/>
        </w:rPr>
        <w:t xml:space="preserve"> Quartal </w:t>
      </w:r>
      <w:r>
        <w:rPr>
          <w:rFonts w:ascii="Arial" w:hAnsi="Arial" w:cs="Arial"/>
          <w:b/>
          <w:sz w:val="20"/>
          <w:szCs w:val="20"/>
        </w:rPr>
        <w:t>2021</w:t>
      </w:r>
    </w:p>
    <w:tbl>
      <w:tblPr>
        <w:tblStyle w:val="TableGrid1"/>
        <w:tblpPr w:leftFromText="141" w:rightFromText="141" w:vertAnchor="text" w:horzAnchor="margin" w:tblpY="71"/>
        <w:tblW w:w="10154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134"/>
        <w:gridCol w:w="1984"/>
        <w:gridCol w:w="2221"/>
        <w:gridCol w:w="1134"/>
      </w:tblGrid>
      <w:tr w:rsidR="0054334C" w:rsidRPr="006F49D0" w14:paraId="3052B16C" w14:textId="77777777" w:rsidTr="0054334C">
        <w:trPr>
          <w:trHeight w:val="567"/>
        </w:trPr>
        <w:tc>
          <w:tcPr>
            <w:tcW w:w="2263" w:type="dxa"/>
            <w:shd w:val="clear" w:color="auto" w:fill="1F242B" w:themeFill="accent2"/>
            <w:vAlign w:val="center"/>
          </w:tcPr>
          <w:p w14:paraId="099BBF07" w14:textId="77777777" w:rsidR="0054334C" w:rsidRDefault="0054334C" w:rsidP="00D6751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Projekt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Objekt</w:t>
            </w:r>
          </w:p>
          <w:p w14:paraId="36FC1BAD" w14:textId="61C9AF06" w:rsidR="0054334C" w:rsidRPr="00C626E7" w:rsidRDefault="0054334C" w:rsidP="00D6751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Straße Nr.</w:t>
            </w:r>
          </w:p>
        </w:tc>
        <w:tc>
          <w:tcPr>
            <w:tcW w:w="1418" w:type="dxa"/>
            <w:shd w:val="clear" w:color="auto" w:fill="1F242B" w:themeFill="accent2"/>
          </w:tcPr>
          <w:p w14:paraId="00BE952B" w14:textId="77777777" w:rsidR="0054334C" w:rsidRPr="009F10F1" w:rsidRDefault="0054334C" w:rsidP="00D67511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</w:tc>
        <w:tc>
          <w:tcPr>
            <w:tcW w:w="1134" w:type="dxa"/>
            <w:shd w:val="clear" w:color="auto" w:fill="1F242B" w:themeFill="accent2"/>
          </w:tcPr>
          <w:p w14:paraId="2A6D3384" w14:textId="77777777" w:rsidR="0054334C" w:rsidRPr="009F10F1" w:rsidRDefault="0054334C" w:rsidP="00D67511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Asset-klasse</w:t>
            </w:r>
          </w:p>
        </w:tc>
        <w:tc>
          <w:tcPr>
            <w:tcW w:w="1984" w:type="dxa"/>
            <w:shd w:val="clear" w:color="auto" w:fill="1F242B" w:themeFill="accent2"/>
            <w:vAlign w:val="center"/>
          </w:tcPr>
          <w:p w14:paraId="3A5E1ED4" w14:textId="77777777" w:rsidR="0054334C" w:rsidRPr="00351DE2" w:rsidRDefault="0054334C" w:rsidP="00D67511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DE2">
              <w:rPr>
                <w:rFonts w:ascii="Arial" w:hAnsi="Arial" w:cs="Arial"/>
                <w:b/>
                <w:sz w:val="18"/>
                <w:szCs w:val="18"/>
              </w:rPr>
              <w:t>Käufer</w:t>
            </w:r>
          </w:p>
        </w:tc>
        <w:tc>
          <w:tcPr>
            <w:tcW w:w="2221" w:type="dxa"/>
            <w:shd w:val="clear" w:color="auto" w:fill="1F242B" w:themeFill="accent2"/>
            <w:vAlign w:val="center"/>
          </w:tcPr>
          <w:p w14:paraId="47D1821F" w14:textId="77777777" w:rsidR="0054334C" w:rsidRPr="00351DE2" w:rsidRDefault="0054334C" w:rsidP="00D67511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DE2">
              <w:rPr>
                <w:rFonts w:ascii="Arial" w:hAnsi="Arial" w:cs="Arial"/>
                <w:b/>
                <w:sz w:val="18"/>
                <w:szCs w:val="18"/>
              </w:rPr>
              <w:t>Verkäufer</w:t>
            </w:r>
          </w:p>
        </w:tc>
        <w:tc>
          <w:tcPr>
            <w:tcW w:w="1134" w:type="dxa"/>
            <w:shd w:val="clear" w:color="auto" w:fill="1F242B" w:themeFill="accent2"/>
            <w:vAlign w:val="center"/>
          </w:tcPr>
          <w:p w14:paraId="4B79ABFD" w14:textId="77777777" w:rsidR="0054334C" w:rsidRPr="009F10F1" w:rsidRDefault="0054334C" w:rsidP="00D67511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Kaufpreis*</w:t>
            </w:r>
          </w:p>
          <w:p w14:paraId="15C7E2C1" w14:textId="77777777" w:rsidR="0054334C" w:rsidRPr="009F10F1" w:rsidRDefault="0054334C" w:rsidP="00D67511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[ca. Mio. €]</w:t>
            </w:r>
          </w:p>
        </w:tc>
      </w:tr>
      <w:tr w:rsidR="0054334C" w:rsidRPr="00F2414C" w14:paraId="0D9A236F" w14:textId="77777777" w:rsidTr="00D67511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6F6D559F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 xml:space="preserve">„Fürst“, </w:t>
            </w:r>
          </w:p>
          <w:p w14:paraId="507AA959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>Kurfürstendamm 206-209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BFAD74" w14:textId="4BADEB89" w:rsidR="0054334C" w:rsidRPr="002C4584" w:rsidRDefault="00D67511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Ku’damm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plus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Seitenstraßen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06DE0C2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Misch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</w:t>
            </w:r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nutzung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02542D00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>Aggregate Holdings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24F0727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C4584">
              <w:rPr>
                <w:rFonts w:ascii="Arial" w:hAnsi="Arial" w:cs="Arial"/>
                <w:sz w:val="18"/>
                <w:szCs w:val="18"/>
              </w:rPr>
              <w:t>Vivion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CD25F2D" w14:textId="77777777" w:rsidR="0054334C" w:rsidRPr="002C4584" w:rsidRDefault="0054334C" w:rsidP="0054334C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</w:rPr>
              <w:t>&gt;1.000</w:t>
            </w:r>
          </w:p>
        </w:tc>
      </w:tr>
      <w:tr w:rsidR="00CD11F5" w:rsidRPr="00F2414C" w14:paraId="66E73A80" w14:textId="77777777" w:rsidTr="00CD11F5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F71253E" w14:textId="77777777" w:rsidR="00CD11F5" w:rsidRDefault="00CD11F5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„Victoriastadt Lofts“,</w:t>
            </w:r>
          </w:p>
          <w:p w14:paraId="5F761859" w14:textId="444AB375" w:rsidR="00CD11F5" w:rsidRPr="002C4584" w:rsidRDefault="00CD11F5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Schreiberhauerstraße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09105FE" w14:textId="432CC58D" w:rsidR="00CD11F5" w:rsidRPr="002C4584" w:rsidRDefault="00CD11F5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Peripherie-Ost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9FBE2F" w14:textId="63F628A8" w:rsidR="00CD11F5" w:rsidRPr="002C4584" w:rsidRDefault="00CD11F5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94FF3E8" w14:textId="4E30E36D" w:rsidR="00CD11F5" w:rsidRPr="002C4584" w:rsidRDefault="00CD11F5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 Real Estate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2B4CD52A" w14:textId="36F19065" w:rsidR="00CD11F5" w:rsidRPr="002C4584" w:rsidRDefault="00CD11F5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Schroder Properties für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Illmarinen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9A637B" w14:textId="01127E20" w:rsidR="00CD11F5" w:rsidRPr="002C4584" w:rsidRDefault="00CD11F5" w:rsidP="0054334C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</w:tr>
      <w:tr w:rsidR="0054334C" w:rsidRPr="00F2414C" w14:paraId="06E75E5C" w14:textId="77777777" w:rsidTr="00D67511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6D4E03E2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>„Quartier 206“,</w:t>
            </w:r>
          </w:p>
          <w:p w14:paraId="64F7D588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>Friedrichstraße 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C7B9EC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Mitte</w:t>
            </w:r>
            <w:proofErr w:type="spellEnd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1a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43B59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Misch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</w:t>
            </w:r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nutzung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55D58A0A" w14:textId="794034E7" w:rsidR="0054334C" w:rsidRPr="002C4584" w:rsidRDefault="00C529DF" w:rsidP="005E47AA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29DF">
              <w:rPr>
                <w:rFonts w:ascii="Arial" w:hAnsi="Arial" w:cs="Arial"/>
                <w:sz w:val="18"/>
                <w:szCs w:val="18"/>
              </w:rPr>
              <w:t>Kölnstraße</w:t>
            </w:r>
            <w:proofErr w:type="spellEnd"/>
            <w:r w:rsidRPr="00C529DF">
              <w:rPr>
                <w:rFonts w:ascii="Arial" w:hAnsi="Arial" w:cs="Arial"/>
                <w:sz w:val="18"/>
                <w:szCs w:val="18"/>
              </w:rPr>
              <w:t xml:space="preserve"> 89 Gmb</w:t>
            </w:r>
            <w:r w:rsidR="005E47AA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C529DF">
              <w:rPr>
                <w:rFonts w:ascii="Arial" w:hAnsi="Arial" w:cs="Arial"/>
                <w:sz w:val="18"/>
                <w:szCs w:val="18"/>
              </w:rPr>
              <w:t>&amp; Co. KG (Jagdfeld-Gruppe)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C1D911F" w14:textId="0284C664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 xml:space="preserve">Bankenkonsortium um </w:t>
            </w:r>
            <w:proofErr w:type="spellStart"/>
            <w:r w:rsidRPr="002C4584">
              <w:rPr>
                <w:rFonts w:ascii="Arial" w:hAnsi="Arial" w:cs="Arial"/>
                <w:sz w:val="18"/>
                <w:szCs w:val="18"/>
              </w:rPr>
              <w:t>Credit</w:t>
            </w:r>
            <w:proofErr w:type="spellEnd"/>
            <w:r w:rsidRPr="002C4584">
              <w:rPr>
                <w:rFonts w:ascii="Arial" w:hAnsi="Arial" w:cs="Arial"/>
                <w:sz w:val="18"/>
                <w:szCs w:val="18"/>
              </w:rPr>
              <w:t xml:space="preserve"> Suisse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55D42" w14:textId="323AC12F" w:rsidR="0054334C" w:rsidRPr="002C4584" w:rsidRDefault="00C529DF" w:rsidP="0054334C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</w:tr>
      <w:tr w:rsidR="0054334C" w:rsidRPr="00F2414C" w14:paraId="7098D071" w14:textId="77777777" w:rsidTr="00D67511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751B976E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>Landsberger Allee 52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8D5704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Friedrichshain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F4FF843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49F40AF1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>Values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25488E8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>Centrum Grundstücksgesellschaft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4FF73" w14:textId="77777777" w:rsidR="0054334C" w:rsidRPr="002C4584" w:rsidRDefault="0054334C" w:rsidP="0054334C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</w:rPr>
              <w:t>200</w:t>
            </w:r>
          </w:p>
        </w:tc>
      </w:tr>
      <w:tr w:rsidR="0054334C" w:rsidRPr="00F2414C" w14:paraId="77A060C7" w14:textId="77777777" w:rsidTr="0054334C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31816E05" w14:textId="77777777" w:rsidR="0054334C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„Alte Post“,</w:t>
            </w:r>
          </w:p>
          <w:p w14:paraId="4D66901B" w14:textId="77777777" w:rsidR="0054334C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Karl-Marx-Straße 97-99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B330ED" w14:textId="77777777" w:rsidR="0054334C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Peripherie-Süd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F68DB1F" w14:textId="77777777" w:rsidR="0054334C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Industrie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Gewerbe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54AB2B2C" w14:textId="77777777" w:rsidR="0054334C" w:rsidRPr="00351DE2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1DE2">
              <w:rPr>
                <w:rFonts w:ascii="Arial" w:hAnsi="Arial" w:cs="Arial"/>
                <w:sz w:val="18"/>
                <w:szCs w:val="18"/>
              </w:rPr>
              <w:t>Ivanhoé</w:t>
            </w:r>
            <w:proofErr w:type="spellEnd"/>
            <w:r w:rsidRPr="00351DE2">
              <w:rPr>
                <w:rFonts w:ascii="Arial" w:hAnsi="Arial" w:cs="Arial"/>
                <w:sz w:val="18"/>
                <w:szCs w:val="18"/>
              </w:rPr>
              <w:t xml:space="preserve"> Cambridge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45A41AF0" w14:textId="77777777" w:rsidR="0054334C" w:rsidRPr="00351DE2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1DE2">
              <w:rPr>
                <w:rFonts w:ascii="Arial" w:hAnsi="Arial" w:cs="Arial"/>
                <w:sz w:val="18"/>
                <w:szCs w:val="18"/>
              </w:rPr>
              <w:t>Commodus Real Estate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A4EDE" w14:textId="77777777" w:rsidR="0054334C" w:rsidRDefault="0054334C" w:rsidP="0054334C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vertraulich</w:t>
            </w:r>
          </w:p>
        </w:tc>
      </w:tr>
    </w:tbl>
    <w:p w14:paraId="16439DC7" w14:textId="49C39DB4" w:rsidR="0054334C" w:rsidRDefault="0054334C" w:rsidP="0054334C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474C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B4679D">
        <w:rPr>
          <w:rFonts w:ascii="Arial" w:hAnsi="Arial" w:cs="Arial"/>
          <w:sz w:val="16"/>
          <w:szCs w:val="16"/>
        </w:rPr>
        <w:t>Die aufgeführten Kaufpreise ba</w:t>
      </w:r>
      <w:r>
        <w:rPr>
          <w:rFonts w:ascii="Arial" w:hAnsi="Arial" w:cs="Arial"/>
          <w:sz w:val="16"/>
          <w:szCs w:val="16"/>
        </w:rPr>
        <w:t xml:space="preserve">sieren auf öffentlich verfügbaren Angaben; </w:t>
      </w:r>
      <w:r w:rsidRPr="00B4679D">
        <w:rPr>
          <w:rFonts w:ascii="Arial" w:hAnsi="Arial" w:cs="Arial"/>
          <w:sz w:val="16"/>
          <w:szCs w:val="16"/>
        </w:rPr>
        <w:t xml:space="preserve">wo solche fehlen, sind </w:t>
      </w:r>
      <w:r>
        <w:rPr>
          <w:rFonts w:ascii="Arial" w:hAnsi="Arial" w:cs="Arial"/>
          <w:sz w:val="16"/>
          <w:szCs w:val="16"/>
        </w:rPr>
        <w:t xml:space="preserve">die </w:t>
      </w:r>
      <w:r w:rsidRPr="00B4679D">
        <w:rPr>
          <w:rFonts w:ascii="Arial" w:hAnsi="Arial" w:cs="Arial"/>
          <w:sz w:val="16"/>
          <w:szCs w:val="16"/>
        </w:rPr>
        <w:t>Kaufpreise geschätzt</w:t>
      </w:r>
      <w:r>
        <w:rPr>
          <w:rFonts w:ascii="Arial" w:hAnsi="Arial" w:cs="Arial"/>
          <w:sz w:val="16"/>
          <w:szCs w:val="16"/>
        </w:rPr>
        <w:t>; Deals aus Berichtsquartal sind grau hinterlegt</w:t>
      </w:r>
    </w:p>
    <w:p w14:paraId="1D1DA908" w14:textId="77777777" w:rsidR="0054334C" w:rsidRDefault="0054334C" w:rsidP="004E7F0F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F993A3D" w14:textId="0080318C" w:rsidR="004E7F0F" w:rsidRPr="00897DBE" w:rsidRDefault="004E7F0F" w:rsidP="004E7F0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ausführliche </w:t>
      </w:r>
      <w:hyperlink r:id="rId9" w:history="1">
        <w:r w:rsidR="00351DE2" w:rsidRPr="00DC46A8">
          <w:rPr>
            <w:rStyle w:val="Hyperlink"/>
            <w:rFonts w:ascii="Arial" w:eastAsia="Arial" w:hAnsi="Arial" w:cs="Arial"/>
            <w:sz w:val="20"/>
            <w:szCs w:val="20"/>
          </w:rPr>
          <w:t>Investment-Marktbericht Berlin</w:t>
        </w:r>
      </w:hyperlink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steht in Kürze auf unserer </w:t>
      </w:r>
      <w:r w:rsidRPr="0062200D">
        <w:rPr>
          <w:rFonts w:ascii="Arial" w:eastAsia="Arial" w:hAnsi="Arial" w:cs="Arial"/>
          <w:sz w:val="20"/>
          <w:szCs w:val="20"/>
        </w:rPr>
        <w:t>Website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zum Download bereit.</w:t>
      </w:r>
    </w:p>
    <w:p w14:paraId="545BF58C" w14:textId="77777777" w:rsidR="004E7F0F" w:rsidRDefault="004E7F0F" w:rsidP="004E7F0F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716DD88D" w14:textId="77777777" w:rsidR="00CB00A5" w:rsidRPr="0090748B" w:rsidRDefault="00CB00A5" w:rsidP="00CB00A5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</w:t>
      </w:r>
      <w:r w:rsidRPr="0090748B">
        <w:rPr>
          <w:rFonts w:ascii="Arial" w:hAnsi="Arial" w:cs="Arial"/>
          <w:b/>
          <w:sz w:val="16"/>
          <w:szCs w:val="16"/>
        </w:rPr>
        <w:t>ber Grossmann &amp; Berger</w:t>
      </w:r>
    </w:p>
    <w:p w14:paraId="1E199D66" w14:textId="77777777" w:rsidR="00CB00A5" w:rsidRPr="004A6CA8" w:rsidRDefault="00CB00A5" w:rsidP="00CB00A5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4A6CA8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 Neben dem Hauptsitz in Hamburg unterhält das Unternehmen 20 Standorte. Hierüber ist Grossmann &amp; Berger flächendeckend im norddeutschen Markt präsent. Über die seit Mai 2021 zum Unternehmen gehörenden Gesellschaften </w:t>
      </w:r>
      <w:hyperlink r:id="rId11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 Rund 250 Mitarbeiter decken mit ihrer umfassenden Immobilienkompetenz das gesamte Branchen-Dienstleistungsspektrum ab. Bei ihrer Tätigkeit können sie auf mehr als 85 Jahre Unternehmenstradition zurückgreifen. </w:t>
      </w:r>
      <w:r w:rsidRPr="004A6CA8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4A6CA8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4A6CA8">
        <w:rPr>
          <w:rFonts w:ascii="Arial" w:hAnsi="Arial" w:cs="Arial"/>
          <w:sz w:val="16"/>
          <w:szCs w:val="16"/>
        </w:rPr>
        <w:t xml:space="preserve"> (GPP).</w:t>
      </w:r>
    </w:p>
    <w:p w14:paraId="57B8156A" w14:textId="77777777" w:rsidR="00CB00A5" w:rsidRPr="004A6CA8" w:rsidRDefault="00CB00A5" w:rsidP="00CB00A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A6CA8">
        <w:rPr>
          <w:rFonts w:ascii="Arial" w:hAnsi="Arial" w:cs="Arial"/>
          <w:sz w:val="16"/>
          <w:szCs w:val="16"/>
        </w:rPr>
        <w:t xml:space="preserve"> </w:t>
      </w:r>
    </w:p>
    <w:p w14:paraId="4C1A68A9" w14:textId="77777777" w:rsidR="00CB00A5" w:rsidRPr="00583E25" w:rsidRDefault="00CB00A5" w:rsidP="00CB00A5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51C1AA4D" w14:textId="7E140211" w:rsidR="00046FEC" w:rsidRPr="00FD140F" w:rsidRDefault="00CB00A5" w:rsidP="00CB561C">
      <w:pPr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lastRenderedPageBreak/>
        <w:t xml:space="preserve">Die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Presseverteiler“.</w:t>
      </w:r>
    </w:p>
    <w:sectPr w:rsidR="00046FEC" w:rsidRPr="00FD140F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206C9" w14:textId="77777777" w:rsidR="0079178A" w:rsidRDefault="0079178A">
      <w:r>
        <w:separator/>
      </w:r>
    </w:p>
  </w:endnote>
  <w:endnote w:type="continuationSeparator" w:id="0">
    <w:p w14:paraId="1D9CBAE3" w14:textId="77777777" w:rsidR="0079178A" w:rsidRDefault="0079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7A14304B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D6652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5440A7EF" w14:textId="09614C32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995499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995499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5540" w14:textId="77777777" w:rsidR="0079178A" w:rsidRDefault="0079178A">
      <w:r>
        <w:separator/>
      </w:r>
    </w:p>
  </w:footnote>
  <w:footnote w:type="continuationSeparator" w:id="0">
    <w:p w14:paraId="45A6BE40" w14:textId="77777777" w:rsidR="0079178A" w:rsidRDefault="0079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1353DA7E" w:rsidR="006138CB" w:rsidRPr="009E3ADA" w:rsidRDefault="003E27B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1C8E7" wp14:editId="565DED62">
              <wp:simplePos x="0" y="0"/>
              <wp:positionH relativeFrom="margin">
                <wp:posOffset>-74930</wp:posOffset>
              </wp:positionH>
              <wp:positionV relativeFrom="paragraph">
                <wp:posOffset>42530</wp:posOffset>
              </wp:positionV>
              <wp:extent cx="4779010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F3728" w14:textId="30E3C749" w:rsidR="003E27B4" w:rsidRDefault="003E27B4" w:rsidP="003E27B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4240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53D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E53D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1C8E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5.9pt;margin-top:3.35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" filled="f" stroked="f">
              <v:textbox>
                <w:txbxContent>
                  <w:p w14:paraId="49DF3728" w14:textId="30E3C749" w:rsidR="003E27B4" w:rsidRDefault="003E27B4" w:rsidP="003E27B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4240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53DC5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E53DC5">
                      <w:rPr>
                        <w:rFonts w:ascii="Arial" w:hAnsi="Arial" w:cs="Arial"/>
                        <w:sz w:val="16"/>
                        <w:szCs w:val="16"/>
                      </w:rPr>
                      <w:t>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61381213" w:rsidR="00D83CB7" w:rsidRDefault="00CE7D16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2EA495" wp14:editId="5630ADAC">
              <wp:simplePos x="0" y="0"/>
              <wp:positionH relativeFrom="margin">
                <wp:posOffset>-92075</wp:posOffset>
              </wp:positionH>
              <wp:positionV relativeFrom="paragraph">
                <wp:posOffset>37135</wp:posOffset>
              </wp:positionV>
              <wp:extent cx="4779010" cy="281940"/>
              <wp:effectExtent l="0" t="0" r="0" b="381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CAEDD" w14:textId="55D10CED" w:rsidR="00CE7D16" w:rsidRDefault="00CE7D16" w:rsidP="00CE7D1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53D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E53D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E53D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EA49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-7.25pt;margin-top:2.9pt;width:376.3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" filled="f" stroked="f">
              <v:textbox>
                <w:txbxContent>
                  <w:p w14:paraId="296CAEDD" w14:textId="55D10CED" w:rsidR="00CE7D16" w:rsidRDefault="00CE7D16" w:rsidP="00CE7D1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53DC5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E53DC5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E53DC5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A2E2B"/>
    <w:multiLevelType w:val="hybridMultilevel"/>
    <w:tmpl w:val="8C66C3F0"/>
    <w:lvl w:ilvl="0" w:tplc="B84AA82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054B7C"/>
    <w:multiLevelType w:val="hybridMultilevel"/>
    <w:tmpl w:val="2AC65C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FF56F7"/>
    <w:multiLevelType w:val="hybridMultilevel"/>
    <w:tmpl w:val="F8825B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8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7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0AEB"/>
    <w:rsid w:val="0000392D"/>
    <w:rsid w:val="000159FE"/>
    <w:rsid w:val="00022F16"/>
    <w:rsid w:val="00023D78"/>
    <w:rsid w:val="00027644"/>
    <w:rsid w:val="0003075C"/>
    <w:rsid w:val="00034842"/>
    <w:rsid w:val="000418C7"/>
    <w:rsid w:val="00046FEC"/>
    <w:rsid w:val="00060743"/>
    <w:rsid w:val="000615E2"/>
    <w:rsid w:val="000623C0"/>
    <w:rsid w:val="00064A03"/>
    <w:rsid w:val="00064CAC"/>
    <w:rsid w:val="00066796"/>
    <w:rsid w:val="0006773E"/>
    <w:rsid w:val="00075002"/>
    <w:rsid w:val="000766D7"/>
    <w:rsid w:val="0007670A"/>
    <w:rsid w:val="00080F27"/>
    <w:rsid w:val="00081461"/>
    <w:rsid w:val="000834E2"/>
    <w:rsid w:val="00087A17"/>
    <w:rsid w:val="000A4113"/>
    <w:rsid w:val="000A517C"/>
    <w:rsid w:val="000A5ED1"/>
    <w:rsid w:val="000A6AE3"/>
    <w:rsid w:val="000A72C3"/>
    <w:rsid w:val="000B0335"/>
    <w:rsid w:val="000B1606"/>
    <w:rsid w:val="000B3315"/>
    <w:rsid w:val="000B3A6C"/>
    <w:rsid w:val="000B7D28"/>
    <w:rsid w:val="000C3A7A"/>
    <w:rsid w:val="000C74B2"/>
    <w:rsid w:val="000C770D"/>
    <w:rsid w:val="000D48D4"/>
    <w:rsid w:val="000D7F9A"/>
    <w:rsid w:val="000E03F3"/>
    <w:rsid w:val="000E49CB"/>
    <w:rsid w:val="000E7BC7"/>
    <w:rsid w:val="000F5742"/>
    <w:rsid w:val="0010158E"/>
    <w:rsid w:val="001029C4"/>
    <w:rsid w:val="00111400"/>
    <w:rsid w:val="0011486D"/>
    <w:rsid w:val="00114D2A"/>
    <w:rsid w:val="00117D5D"/>
    <w:rsid w:val="00117EF7"/>
    <w:rsid w:val="00121E33"/>
    <w:rsid w:val="00126550"/>
    <w:rsid w:val="00127DF7"/>
    <w:rsid w:val="001324D6"/>
    <w:rsid w:val="00132522"/>
    <w:rsid w:val="00135BD2"/>
    <w:rsid w:val="00135E09"/>
    <w:rsid w:val="00143320"/>
    <w:rsid w:val="00154825"/>
    <w:rsid w:val="001548AF"/>
    <w:rsid w:val="0017364E"/>
    <w:rsid w:val="0017516B"/>
    <w:rsid w:val="00176F1D"/>
    <w:rsid w:val="0018068D"/>
    <w:rsid w:val="00180801"/>
    <w:rsid w:val="001871BC"/>
    <w:rsid w:val="001A2ABE"/>
    <w:rsid w:val="001A360C"/>
    <w:rsid w:val="001B577C"/>
    <w:rsid w:val="001B7F04"/>
    <w:rsid w:val="001C0A59"/>
    <w:rsid w:val="001D0F68"/>
    <w:rsid w:val="001D14DA"/>
    <w:rsid w:val="001D43BB"/>
    <w:rsid w:val="001D645F"/>
    <w:rsid w:val="001D64B8"/>
    <w:rsid w:val="001E1172"/>
    <w:rsid w:val="001E6995"/>
    <w:rsid w:val="001F1513"/>
    <w:rsid w:val="001F1ECE"/>
    <w:rsid w:val="001F3C3A"/>
    <w:rsid w:val="0020062D"/>
    <w:rsid w:val="00201E4A"/>
    <w:rsid w:val="00205769"/>
    <w:rsid w:val="00212FEC"/>
    <w:rsid w:val="002131BB"/>
    <w:rsid w:val="00213F07"/>
    <w:rsid w:val="00214952"/>
    <w:rsid w:val="00217C46"/>
    <w:rsid w:val="0022086D"/>
    <w:rsid w:val="00227E31"/>
    <w:rsid w:val="00230F81"/>
    <w:rsid w:val="002341EE"/>
    <w:rsid w:val="002353AA"/>
    <w:rsid w:val="00237341"/>
    <w:rsid w:val="00241526"/>
    <w:rsid w:val="00242D24"/>
    <w:rsid w:val="002462B6"/>
    <w:rsid w:val="00251FC5"/>
    <w:rsid w:val="00252F40"/>
    <w:rsid w:val="00253412"/>
    <w:rsid w:val="00254C6F"/>
    <w:rsid w:val="002550BA"/>
    <w:rsid w:val="00255679"/>
    <w:rsid w:val="0027266B"/>
    <w:rsid w:val="00274734"/>
    <w:rsid w:val="00277361"/>
    <w:rsid w:val="00281E80"/>
    <w:rsid w:val="002834B0"/>
    <w:rsid w:val="00283671"/>
    <w:rsid w:val="00284A5D"/>
    <w:rsid w:val="00284E27"/>
    <w:rsid w:val="00294B7D"/>
    <w:rsid w:val="002A1973"/>
    <w:rsid w:val="002A59CD"/>
    <w:rsid w:val="002B14F6"/>
    <w:rsid w:val="002B7C7F"/>
    <w:rsid w:val="002C055A"/>
    <w:rsid w:val="002C2392"/>
    <w:rsid w:val="002C450A"/>
    <w:rsid w:val="002C4584"/>
    <w:rsid w:val="002D19FA"/>
    <w:rsid w:val="002D1C5C"/>
    <w:rsid w:val="002D1E20"/>
    <w:rsid w:val="002E2A92"/>
    <w:rsid w:val="002E6860"/>
    <w:rsid w:val="002F0411"/>
    <w:rsid w:val="002F767E"/>
    <w:rsid w:val="00301F3A"/>
    <w:rsid w:val="003044F7"/>
    <w:rsid w:val="00304D7A"/>
    <w:rsid w:val="00305A36"/>
    <w:rsid w:val="003079E3"/>
    <w:rsid w:val="00313876"/>
    <w:rsid w:val="003246F0"/>
    <w:rsid w:val="00325E2A"/>
    <w:rsid w:val="00326066"/>
    <w:rsid w:val="00326349"/>
    <w:rsid w:val="003272F3"/>
    <w:rsid w:val="003372CA"/>
    <w:rsid w:val="0034064A"/>
    <w:rsid w:val="00345716"/>
    <w:rsid w:val="00346814"/>
    <w:rsid w:val="0034786C"/>
    <w:rsid w:val="00347A18"/>
    <w:rsid w:val="00350D85"/>
    <w:rsid w:val="00351477"/>
    <w:rsid w:val="003517C9"/>
    <w:rsid w:val="00351DCD"/>
    <w:rsid w:val="00351DE2"/>
    <w:rsid w:val="0035408E"/>
    <w:rsid w:val="00357EC4"/>
    <w:rsid w:val="00360D71"/>
    <w:rsid w:val="003627E1"/>
    <w:rsid w:val="00365AF8"/>
    <w:rsid w:val="00370000"/>
    <w:rsid w:val="00373507"/>
    <w:rsid w:val="0038230E"/>
    <w:rsid w:val="00382529"/>
    <w:rsid w:val="0038350F"/>
    <w:rsid w:val="00396CE0"/>
    <w:rsid w:val="003A00C9"/>
    <w:rsid w:val="003A25A4"/>
    <w:rsid w:val="003B19F4"/>
    <w:rsid w:val="003B49E4"/>
    <w:rsid w:val="003B4CCF"/>
    <w:rsid w:val="003B6CD4"/>
    <w:rsid w:val="003C1693"/>
    <w:rsid w:val="003C5218"/>
    <w:rsid w:val="003C6AB4"/>
    <w:rsid w:val="003E099F"/>
    <w:rsid w:val="003E27B4"/>
    <w:rsid w:val="003E4DF9"/>
    <w:rsid w:val="003F1A91"/>
    <w:rsid w:val="003F4D62"/>
    <w:rsid w:val="003F665D"/>
    <w:rsid w:val="003F7E7E"/>
    <w:rsid w:val="0040086D"/>
    <w:rsid w:val="004017D8"/>
    <w:rsid w:val="00405D59"/>
    <w:rsid w:val="00411E03"/>
    <w:rsid w:val="004123B1"/>
    <w:rsid w:val="00417F4D"/>
    <w:rsid w:val="00424033"/>
    <w:rsid w:val="004269AC"/>
    <w:rsid w:val="00426E13"/>
    <w:rsid w:val="004303A1"/>
    <w:rsid w:val="00440DC9"/>
    <w:rsid w:val="004450C4"/>
    <w:rsid w:val="00445DF9"/>
    <w:rsid w:val="004506D2"/>
    <w:rsid w:val="00456F40"/>
    <w:rsid w:val="004609BD"/>
    <w:rsid w:val="004661EE"/>
    <w:rsid w:val="00466741"/>
    <w:rsid w:val="00470064"/>
    <w:rsid w:val="0047198B"/>
    <w:rsid w:val="004818CE"/>
    <w:rsid w:val="00484D17"/>
    <w:rsid w:val="004966E3"/>
    <w:rsid w:val="004A2BEA"/>
    <w:rsid w:val="004A3C64"/>
    <w:rsid w:val="004A5AEA"/>
    <w:rsid w:val="004B2694"/>
    <w:rsid w:val="004B2FDA"/>
    <w:rsid w:val="004B480A"/>
    <w:rsid w:val="004B5A6D"/>
    <w:rsid w:val="004C0CA2"/>
    <w:rsid w:val="004D50C0"/>
    <w:rsid w:val="004D772A"/>
    <w:rsid w:val="004E339B"/>
    <w:rsid w:val="004E4273"/>
    <w:rsid w:val="004E4562"/>
    <w:rsid w:val="004E7F0F"/>
    <w:rsid w:val="004F077F"/>
    <w:rsid w:val="004F78B4"/>
    <w:rsid w:val="005023DD"/>
    <w:rsid w:val="00503D8C"/>
    <w:rsid w:val="00511179"/>
    <w:rsid w:val="0051170E"/>
    <w:rsid w:val="00511F14"/>
    <w:rsid w:val="00512BAE"/>
    <w:rsid w:val="0051485A"/>
    <w:rsid w:val="005148A7"/>
    <w:rsid w:val="00522B84"/>
    <w:rsid w:val="00527C3F"/>
    <w:rsid w:val="00531A7F"/>
    <w:rsid w:val="00534BAD"/>
    <w:rsid w:val="005360E8"/>
    <w:rsid w:val="005412D0"/>
    <w:rsid w:val="005428C5"/>
    <w:rsid w:val="0054334C"/>
    <w:rsid w:val="00543C55"/>
    <w:rsid w:val="0054412E"/>
    <w:rsid w:val="0055393B"/>
    <w:rsid w:val="005554C7"/>
    <w:rsid w:val="00556F58"/>
    <w:rsid w:val="0055704F"/>
    <w:rsid w:val="00564EDE"/>
    <w:rsid w:val="00567D57"/>
    <w:rsid w:val="005703C3"/>
    <w:rsid w:val="00571004"/>
    <w:rsid w:val="0057685F"/>
    <w:rsid w:val="00577B63"/>
    <w:rsid w:val="00581A6D"/>
    <w:rsid w:val="00582B99"/>
    <w:rsid w:val="00590903"/>
    <w:rsid w:val="005A617A"/>
    <w:rsid w:val="005B0FC9"/>
    <w:rsid w:val="005B24B2"/>
    <w:rsid w:val="005B2D0D"/>
    <w:rsid w:val="005B66D3"/>
    <w:rsid w:val="005B7D91"/>
    <w:rsid w:val="005C422A"/>
    <w:rsid w:val="005C4556"/>
    <w:rsid w:val="005C5302"/>
    <w:rsid w:val="005D307B"/>
    <w:rsid w:val="005E362E"/>
    <w:rsid w:val="005E43B3"/>
    <w:rsid w:val="005E47AA"/>
    <w:rsid w:val="005F2195"/>
    <w:rsid w:val="005F69D4"/>
    <w:rsid w:val="005F7593"/>
    <w:rsid w:val="006029D7"/>
    <w:rsid w:val="00606BFF"/>
    <w:rsid w:val="00606E35"/>
    <w:rsid w:val="0061109D"/>
    <w:rsid w:val="0061138B"/>
    <w:rsid w:val="00612AA0"/>
    <w:rsid w:val="006138CB"/>
    <w:rsid w:val="006142A4"/>
    <w:rsid w:val="0062200D"/>
    <w:rsid w:val="006224C4"/>
    <w:rsid w:val="006225EA"/>
    <w:rsid w:val="006261DF"/>
    <w:rsid w:val="00631936"/>
    <w:rsid w:val="006321DC"/>
    <w:rsid w:val="00635762"/>
    <w:rsid w:val="00641270"/>
    <w:rsid w:val="00642074"/>
    <w:rsid w:val="006424F8"/>
    <w:rsid w:val="006476B4"/>
    <w:rsid w:val="00656049"/>
    <w:rsid w:val="0065675C"/>
    <w:rsid w:val="0066730C"/>
    <w:rsid w:val="00672C84"/>
    <w:rsid w:val="00681CAB"/>
    <w:rsid w:val="00682CFC"/>
    <w:rsid w:val="006842EF"/>
    <w:rsid w:val="00685030"/>
    <w:rsid w:val="00692D4F"/>
    <w:rsid w:val="00693E35"/>
    <w:rsid w:val="0069559B"/>
    <w:rsid w:val="00695E58"/>
    <w:rsid w:val="0069613C"/>
    <w:rsid w:val="0069757D"/>
    <w:rsid w:val="006A1329"/>
    <w:rsid w:val="006A66F9"/>
    <w:rsid w:val="006B4303"/>
    <w:rsid w:val="006C2ABF"/>
    <w:rsid w:val="006C5A77"/>
    <w:rsid w:val="006D024C"/>
    <w:rsid w:val="006E3B3D"/>
    <w:rsid w:val="006E5C9C"/>
    <w:rsid w:val="006E7424"/>
    <w:rsid w:val="006F00F2"/>
    <w:rsid w:val="006F1774"/>
    <w:rsid w:val="006F292B"/>
    <w:rsid w:val="006F6A03"/>
    <w:rsid w:val="00700DB0"/>
    <w:rsid w:val="00713D81"/>
    <w:rsid w:val="00717A20"/>
    <w:rsid w:val="00720DFF"/>
    <w:rsid w:val="007265F3"/>
    <w:rsid w:val="00730E23"/>
    <w:rsid w:val="00753311"/>
    <w:rsid w:val="00754513"/>
    <w:rsid w:val="00762CC5"/>
    <w:rsid w:val="00762F85"/>
    <w:rsid w:val="00767063"/>
    <w:rsid w:val="007771A5"/>
    <w:rsid w:val="007906B4"/>
    <w:rsid w:val="0079178A"/>
    <w:rsid w:val="007970A0"/>
    <w:rsid w:val="00797E4F"/>
    <w:rsid w:val="007A314C"/>
    <w:rsid w:val="007A3CB9"/>
    <w:rsid w:val="007B215B"/>
    <w:rsid w:val="007B4617"/>
    <w:rsid w:val="007C19A8"/>
    <w:rsid w:val="007C26B6"/>
    <w:rsid w:val="007C2D96"/>
    <w:rsid w:val="007E0FB6"/>
    <w:rsid w:val="007E759D"/>
    <w:rsid w:val="007F2DBE"/>
    <w:rsid w:val="007F33B6"/>
    <w:rsid w:val="007F642D"/>
    <w:rsid w:val="007F756A"/>
    <w:rsid w:val="00800E2C"/>
    <w:rsid w:val="0080214D"/>
    <w:rsid w:val="00812471"/>
    <w:rsid w:val="00822CF9"/>
    <w:rsid w:val="008261A5"/>
    <w:rsid w:val="008327E5"/>
    <w:rsid w:val="0083382E"/>
    <w:rsid w:val="00844AAC"/>
    <w:rsid w:val="00844D14"/>
    <w:rsid w:val="008457CE"/>
    <w:rsid w:val="0085354A"/>
    <w:rsid w:val="00855325"/>
    <w:rsid w:val="00855669"/>
    <w:rsid w:val="00862E34"/>
    <w:rsid w:val="008634F3"/>
    <w:rsid w:val="0086528D"/>
    <w:rsid w:val="008652FA"/>
    <w:rsid w:val="00865915"/>
    <w:rsid w:val="008661AA"/>
    <w:rsid w:val="00871832"/>
    <w:rsid w:val="00874821"/>
    <w:rsid w:val="00875E9B"/>
    <w:rsid w:val="00876FCA"/>
    <w:rsid w:val="008830F9"/>
    <w:rsid w:val="00886CCE"/>
    <w:rsid w:val="008942C6"/>
    <w:rsid w:val="00896B33"/>
    <w:rsid w:val="00897DBE"/>
    <w:rsid w:val="008A2995"/>
    <w:rsid w:val="008A2BA4"/>
    <w:rsid w:val="008A62FB"/>
    <w:rsid w:val="008A77B7"/>
    <w:rsid w:val="008B0F67"/>
    <w:rsid w:val="008B297B"/>
    <w:rsid w:val="008B3833"/>
    <w:rsid w:val="008C0535"/>
    <w:rsid w:val="008C0BCD"/>
    <w:rsid w:val="008C0BD9"/>
    <w:rsid w:val="008C608D"/>
    <w:rsid w:val="008D1F37"/>
    <w:rsid w:val="008E14BE"/>
    <w:rsid w:val="008E461D"/>
    <w:rsid w:val="008E5520"/>
    <w:rsid w:val="008F08E5"/>
    <w:rsid w:val="008F097F"/>
    <w:rsid w:val="008F0EA4"/>
    <w:rsid w:val="008F10B9"/>
    <w:rsid w:val="008F38F6"/>
    <w:rsid w:val="008F5213"/>
    <w:rsid w:val="008F67E7"/>
    <w:rsid w:val="008F6B2D"/>
    <w:rsid w:val="009000CF"/>
    <w:rsid w:val="00903598"/>
    <w:rsid w:val="009050B3"/>
    <w:rsid w:val="00906FC5"/>
    <w:rsid w:val="0090748B"/>
    <w:rsid w:val="00914C4C"/>
    <w:rsid w:val="00920C9C"/>
    <w:rsid w:val="00922754"/>
    <w:rsid w:val="00925781"/>
    <w:rsid w:val="009258D0"/>
    <w:rsid w:val="00930E06"/>
    <w:rsid w:val="00932BAE"/>
    <w:rsid w:val="00933C0C"/>
    <w:rsid w:val="00934D87"/>
    <w:rsid w:val="00935AB3"/>
    <w:rsid w:val="00940FBB"/>
    <w:rsid w:val="009635CF"/>
    <w:rsid w:val="009646C4"/>
    <w:rsid w:val="009668BB"/>
    <w:rsid w:val="009734CE"/>
    <w:rsid w:val="00974CB0"/>
    <w:rsid w:val="00975085"/>
    <w:rsid w:val="009750A4"/>
    <w:rsid w:val="0098460C"/>
    <w:rsid w:val="00991976"/>
    <w:rsid w:val="0099413E"/>
    <w:rsid w:val="00995499"/>
    <w:rsid w:val="00996E1A"/>
    <w:rsid w:val="009B1E02"/>
    <w:rsid w:val="009B4392"/>
    <w:rsid w:val="009B51DA"/>
    <w:rsid w:val="009B7D09"/>
    <w:rsid w:val="009C0784"/>
    <w:rsid w:val="009C2CB9"/>
    <w:rsid w:val="009C51DF"/>
    <w:rsid w:val="009C6CB6"/>
    <w:rsid w:val="009D24DA"/>
    <w:rsid w:val="009D5D75"/>
    <w:rsid w:val="009E0C0B"/>
    <w:rsid w:val="009E572D"/>
    <w:rsid w:val="009F1A62"/>
    <w:rsid w:val="009F32A2"/>
    <w:rsid w:val="009F54CE"/>
    <w:rsid w:val="009F70FE"/>
    <w:rsid w:val="00A0600B"/>
    <w:rsid w:val="00A06264"/>
    <w:rsid w:val="00A1639A"/>
    <w:rsid w:val="00A215C9"/>
    <w:rsid w:val="00A25474"/>
    <w:rsid w:val="00A25CF0"/>
    <w:rsid w:val="00A31468"/>
    <w:rsid w:val="00A344DD"/>
    <w:rsid w:val="00A5364B"/>
    <w:rsid w:val="00A615E0"/>
    <w:rsid w:val="00A65E2B"/>
    <w:rsid w:val="00A70878"/>
    <w:rsid w:val="00A70C9E"/>
    <w:rsid w:val="00A73C12"/>
    <w:rsid w:val="00A74AA0"/>
    <w:rsid w:val="00A7546D"/>
    <w:rsid w:val="00A7613D"/>
    <w:rsid w:val="00A77100"/>
    <w:rsid w:val="00A81626"/>
    <w:rsid w:val="00A8357B"/>
    <w:rsid w:val="00A848FC"/>
    <w:rsid w:val="00A92943"/>
    <w:rsid w:val="00A92A96"/>
    <w:rsid w:val="00A975B1"/>
    <w:rsid w:val="00AA4D97"/>
    <w:rsid w:val="00AB424B"/>
    <w:rsid w:val="00AD17B7"/>
    <w:rsid w:val="00AF08D2"/>
    <w:rsid w:val="00B01A1B"/>
    <w:rsid w:val="00B02242"/>
    <w:rsid w:val="00B069C5"/>
    <w:rsid w:val="00B06D1B"/>
    <w:rsid w:val="00B077D5"/>
    <w:rsid w:val="00B16A78"/>
    <w:rsid w:val="00B200E4"/>
    <w:rsid w:val="00B26FFD"/>
    <w:rsid w:val="00B31E12"/>
    <w:rsid w:val="00B31F77"/>
    <w:rsid w:val="00B3325C"/>
    <w:rsid w:val="00B35B6D"/>
    <w:rsid w:val="00B35DC6"/>
    <w:rsid w:val="00B35DD7"/>
    <w:rsid w:val="00B51699"/>
    <w:rsid w:val="00B53FAF"/>
    <w:rsid w:val="00B55D98"/>
    <w:rsid w:val="00B63153"/>
    <w:rsid w:val="00B6527D"/>
    <w:rsid w:val="00B73B3A"/>
    <w:rsid w:val="00B74507"/>
    <w:rsid w:val="00B75718"/>
    <w:rsid w:val="00B75E7E"/>
    <w:rsid w:val="00B81257"/>
    <w:rsid w:val="00B9324B"/>
    <w:rsid w:val="00B93817"/>
    <w:rsid w:val="00B9391B"/>
    <w:rsid w:val="00B9682D"/>
    <w:rsid w:val="00BA0B96"/>
    <w:rsid w:val="00BA52C9"/>
    <w:rsid w:val="00BB15DA"/>
    <w:rsid w:val="00BB340D"/>
    <w:rsid w:val="00BB6626"/>
    <w:rsid w:val="00BC2A3A"/>
    <w:rsid w:val="00BC5A68"/>
    <w:rsid w:val="00BC64EC"/>
    <w:rsid w:val="00BC7971"/>
    <w:rsid w:val="00BC7BF3"/>
    <w:rsid w:val="00BD073D"/>
    <w:rsid w:val="00BD6001"/>
    <w:rsid w:val="00BD6652"/>
    <w:rsid w:val="00BD75E0"/>
    <w:rsid w:val="00BE10CC"/>
    <w:rsid w:val="00BE4198"/>
    <w:rsid w:val="00BF029A"/>
    <w:rsid w:val="00BF3AFD"/>
    <w:rsid w:val="00BF5FE7"/>
    <w:rsid w:val="00C003EA"/>
    <w:rsid w:val="00C1606C"/>
    <w:rsid w:val="00C16E16"/>
    <w:rsid w:val="00C23180"/>
    <w:rsid w:val="00C26F94"/>
    <w:rsid w:val="00C31A72"/>
    <w:rsid w:val="00C348CA"/>
    <w:rsid w:val="00C41492"/>
    <w:rsid w:val="00C502EC"/>
    <w:rsid w:val="00C50874"/>
    <w:rsid w:val="00C529DF"/>
    <w:rsid w:val="00C702B5"/>
    <w:rsid w:val="00C70389"/>
    <w:rsid w:val="00C82F1D"/>
    <w:rsid w:val="00C904B6"/>
    <w:rsid w:val="00C90A75"/>
    <w:rsid w:val="00C96DF4"/>
    <w:rsid w:val="00CA0F2C"/>
    <w:rsid w:val="00CA6A66"/>
    <w:rsid w:val="00CB00A5"/>
    <w:rsid w:val="00CB317E"/>
    <w:rsid w:val="00CB561C"/>
    <w:rsid w:val="00CC1337"/>
    <w:rsid w:val="00CC2514"/>
    <w:rsid w:val="00CC48DF"/>
    <w:rsid w:val="00CC6FB9"/>
    <w:rsid w:val="00CD11F5"/>
    <w:rsid w:val="00CD4A91"/>
    <w:rsid w:val="00CD5CAB"/>
    <w:rsid w:val="00CD5FA7"/>
    <w:rsid w:val="00CD6BD0"/>
    <w:rsid w:val="00CD70E7"/>
    <w:rsid w:val="00CD7363"/>
    <w:rsid w:val="00CE0964"/>
    <w:rsid w:val="00CE0C1F"/>
    <w:rsid w:val="00CE3191"/>
    <w:rsid w:val="00CE455F"/>
    <w:rsid w:val="00CE4A15"/>
    <w:rsid w:val="00CE5195"/>
    <w:rsid w:val="00CE6B63"/>
    <w:rsid w:val="00CE74B4"/>
    <w:rsid w:val="00CE7D16"/>
    <w:rsid w:val="00CF0BF9"/>
    <w:rsid w:val="00CF2E86"/>
    <w:rsid w:val="00CF5957"/>
    <w:rsid w:val="00CF6C58"/>
    <w:rsid w:val="00D0004A"/>
    <w:rsid w:val="00D04BA2"/>
    <w:rsid w:val="00D077B0"/>
    <w:rsid w:val="00D157A0"/>
    <w:rsid w:val="00D22D42"/>
    <w:rsid w:val="00D24AF1"/>
    <w:rsid w:val="00D31447"/>
    <w:rsid w:val="00D35A6D"/>
    <w:rsid w:val="00D36D8D"/>
    <w:rsid w:val="00D45711"/>
    <w:rsid w:val="00D47190"/>
    <w:rsid w:val="00D500FC"/>
    <w:rsid w:val="00D50EC4"/>
    <w:rsid w:val="00D51597"/>
    <w:rsid w:val="00D5326E"/>
    <w:rsid w:val="00D55867"/>
    <w:rsid w:val="00D56A5A"/>
    <w:rsid w:val="00D57410"/>
    <w:rsid w:val="00D634A3"/>
    <w:rsid w:val="00D67511"/>
    <w:rsid w:val="00D72339"/>
    <w:rsid w:val="00D73E47"/>
    <w:rsid w:val="00D74ABB"/>
    <w:rsid w:val="00D83CB7"/>
    <w:rsid w:val="00D93B80"/>
    <w:rsid w:val="00D976B3"/>
    <w:rsid w:val="00D97FA8"/>
    <w:rsid w:val="00DB289A"/>
    <w:rsid w:val="00DB4363"/>
    <w:rsid w:val="00DB66BD"/>
    <w:rsid w:val="00DC07C5"/>
    <w:rsid w:val="00DC46A8"/>
    <w:rsid w:val="00DC7B25"/>
    <w:rsid w:val="00DD340F"/>
    <w:rsid w:val="00DD39EA"/>
    <w:rsid w:val="00DD6B73"/>
    <w:rsid w:val="00DE23F8"/>
    <w:rsid w:val="00DE2988"/>
    <w:rsid w:val="00DE7CC2"/>
    <w:rsid w:val="00E007DD"/>
    <w:rsid w:val="00E04392"/>
    <w:rsid w:val="00E05CF6"/>
    <w:rsid w:val="00E077DE"/>
    <w:rsid w:val="00E112C9"/>
    <w:rsid w:val="00E1314C"/>
    <w:rsid w:val="00E158F7"/>
    <w:rsid w:val="00E16ABE"/>
    <w:rsid w:val="00E2087E"/>
    <w:rsid w:val="00E2356E"/>
    <w:rsid w:val="00E23C81"/>
    <w:rsid w:val="00E2636D"/>
    <w:rsid w:val="00E34976"/>
    <w:rsid w:val="00E36818"/>
    <w:rsid w:val="00E47B97"/>
    <w:rsid w:val="00E50B1B"/>
    <w:rsid w:val="00E5203C"/>
    <w:rsid w:val="00E53DC5"/>
    <w:rsid w:val="00E603A4"/>
    <w:rsid w:val="00E634CC"/>
    <w:rsid w:val="00E81727"/>
    <w:rsid w:val="00E82F0E"/>
    <w:rsid w:val="00E84DFB"/>
    <w:rsid w:val="00E90673"/>
    <w:rsid w:val="00E95ABF"/>
    <w:rsid w:val="00E95F89"/>
    <w:rsid w:val="00E96FAC"/>
    <w:rsid w:val="00EA0382"/>
    <w:rsid w:val="00EA129F"/>
    <w:rsid w:val="00EB7A31"/>
    <w:rsid w:val="00EC08DC"/>
    <w:rsid w:val="00ED0582"/>
    <w:rsid w:val="00ED1262"/>
    <w:rsid w:val="00ED7374"/>
    <w:rsid w:val="00EE31F6"/>
    <w:rsid w:val="00EE36DC"/>
    <w:rsid w:val="00EE6896"/>
    <w:rsid w:val="00EF06B5"/>
    <w:rsid w:val="00EF69E4"/>
    <w:rsid w:val="00F044EE"/>
    <w:rsid w:val="00F04CF3"/>
    <w:rsid w:val="00F04DEB"/>
    <w:rsid w:val="00F20069"/>
    <w:rsid w:val="00F20AAA"/>
    <w:rsid w:val="00F21201"/>
    <w:rsid w:val="00F2414C"/>
    <w:rsid w:val="00F3320B"/>
    <w:rsid w:val="00F40E92"/>
    <w:rsid w:val="00F41947"/>
    <w:rsid w:val="00F435AA"/>
    <w:rsid w:val="00F45370"/>
    <w:rsid w:val="00F511B7"/>
    <w:rsid w:val="00F56D0A"/>
    <w:rsid w:val="00F605AF"/>
    <w:rsid w:val="00F60A04"/>
    <w:rsid w:val="00F63C5D"/>
    <w:rsid w:val="00F67EAF"/>
    <w:rsid w:val="00F7191D"/>
    <w:rsid w:val="00F72E52"/>
    <w:rsid w:val="00F730FC"/>
    <w:rsid w:val="00F76C6A"/>
    <w:rsid w:val="00F83BF1"/>
    <w:rsid w:val="00F84E8C"/>
    <w:rsid w:val="00F90CB9"/>
    <w:rsid w:val="00F91D23"/>
    <w:rsid w:val="00F91DD8"/>
    <w:rsid w:val="00F97373"/>
    <w:rsid w:val="00F97A65"/>
    <w:rsid w:val="00FA0254"/>
    <w:rsid w:val="00FA59F1"/>
    <w:rsid w:val="00FA6129"/>
    <w:rsid w:val="00FA6854"/>
    <w:rsid w:val="00FB064F"/>
    <w:rsid w:val="00FB0F6B"/>
    <w:rsid w:val="00FB144F"/>
    <w:rsid w:val="00FB159A"/>
    <w:rsid w:val="00FB4D77"/>
    <w:rsid w:val="00FC40F0"/>
    <w:rsid w:val="00FC497D"/>
    <w:rsid w:val="00FD076B"/>
    <w:rsid w:val="00FD140F"/>
    <w:rsid w:val="00FD39DE"/>
    <w:rsid w:val="00FE1A6B"/>
    <w:rsid w:val="00FE4B61"/>
    <w:rsid w:val="00FF3782"/>
    <w:rsid w:val="00FF695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CF9775E"/>
  <w15:docId w15:val="{7BDA7C9C-B17E-4017-9000-E37B1E5E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767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D9100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767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E600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67063"/>
    <w:rPr>
      <w:rFonts w:asciiTheme="majorHAnsi" w:eastAsiaTheme="majorEastAsia" w:hAnsiTheme="majorHAnsi" w:cstheme="majorBidi"/>
      <w:color w:val="BD9100" w:themeColor="accent1" w:themeShade="BF"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767063"/>
    <w:rPr>
      <w:rFonts w:asciiTheme="majorHAnsi" w:eastAsiaTheme="majorEastAsia" w:hAnsiTheme="majorHAnsi" w:cstheme="majorBidi"/>
      <w:color w:val="7E600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1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ile01\Marketing\Presse\5_PresseMITTEILUNGEN\Marktbericht%20B&#252;ro\2020\2020%20Q2\20180517_Dokumentation%20der%20Verarbeitungstaetigkeit%20nach%20DSGVO_Presse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news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berlin-investment/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D07D-2C53-461C-B000-B070526D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5</cp:revision>
  <cp:lastPrinted>2020-01-08T13:10:00Z</cp:lastPrinted>
  <dcterms:created xsi:type="dcterms:W3CDTF">2021-10-14T09:25:00Z</dcterms:created>
  <dcterms:modified xsi:type="dcterms:W3CDTF">2021-10-14T10:50:00Z</dcterms:modified>
</cp:coreProperties>
</file>