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D5AF" w14:textId="75864919" w:rsidR="00D04BA2" w:rsidRPr="00804E24" w:rsidRDefault="00562976" w:rsidP="000C770D">
      <w:pPr>
        <w:spacing w:after="0" w:line="360" w:lineRule="auto"/>
        <w:rPr>
          <w:rFonts w:ascii="Arial" w:hAnsi="Arial" w:cs="Arial"/>
          <w:b/>
        </w:rPr>
      </w:pPr>
      <w:r w:rsidRPr="00804E24">
        <w:rPr>
          <w:rFonts w:ascii="Arial" w:hAnsi="Arial" w:cs="Arial"/>
          <w:b/>
        </w:rPr>
        <w:t xml:space="preserve">Hamburg: </w:t>
      </w:r>
      <w:r w:rsidR="008E4BB1">
        <w:rPr>
          <w:rFonts w:ascii="Arial" w:hAnsi="Arial" w:cs="Arial"/>
          <w:b/>
        </w:rPr>
        <w:t>Laden- und Gastronomieflächen</w:t>
      </w:r>
      <w:r w:rsidRPr="00804E24">
        <w:rPr>
          <w:rFonts w:ascii="Arial" w:hAnsi="Arial" w:cs="Arial"/>
          <w:b/>
        </w:rPr>
        <w:t xml:space="preserve"> </w:t>
      </w:r>
      <w:r w:rsidR="00475DE6">
        <w:rPr>
          <w:rFonts w:ascii="Arial" w:hAnsi="Arial" w:cs="Arial"/>
          <w:b/>
        </w:rPr>
        <w:t>2021</w:t>
      </w:r>
      <w:r w:rsidR="00F05FA5" w:rsidRPr="00804E24">
        <w:rPr>
          <w:rFonts w:ascii="Arial" w:hAnsi="Arial" w:cs="Arial"/>
          <w:b/>
        </w:rPr>
        <w:t xml:space="preserve"> / 20</w:t>
      </w:r>
      <w:r w:rsidR="00475DE6">
        <w:rPr>
          <w:rFonts w:ascii="Arial" w:hAnsi="Arial" w:cs="Arial"/>
          <w:b/>
        </w:rPr>
        <w:t>22</w:t>
      </w:r>
    </w:p>
    <w:p w14:paraId="5EC4FD89" w14:textId="300280FE" w:rsidR="00CE7720" w:rsidRPr="00475DE6" w:rsidRDefault="00A357C3" w:rsidP="00475DE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Pandemie </w:t>
      </w:r>
      <w:r w:rsidR="002E5FC4">
        <w:rPr>
          <w:rFonts w:ascii="Arial" w:hAnsi="Arial" w:cs="Arial"/>
          <w:b/>
          <w:sz w:val="28"/>
          <w:szCs w:val="28"/>
        </w:rPr>
        <w:t>fördert Marktagilität</w:t>
      </w:r>
    </w:p>
    <w:p w14:paraId="0A0EDB72" w14:textId="77777777" w:rsidR="00590903" w:rsidRPr="0090748B" w:rsidRDefault="00590903" w:rsidP="00B43795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17169DE" w14:textId="49F584D4" w:rsidR="00F01554" w:rsidRDefault="00AF6EAC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Hamburg</w:t>
      </w:r>
      <w:r w:rsidR="00CE2B6D">
        <w:rPr>
          <w:rFonts w:ascii="Arial" w:hAnsi="Arial" w:cs="Arial"/>
          <w:b/>
          <w:sz w:val="20"/>
          <w:szCs w:val="20"/>
        </w:rPr>
        <w:t xml:space="preserve">, </w:t>
      </w:r>
      <w:r w:rsidR="00475DE6">
        <w:rPr>
          <w:rFonts w:ascii="Arial" w:hAnsi="Arial" w:cs="Arial"/>
          <w:b/>
          <w:sz w:val="20"/>
          <w:szCs w:val="20"/>
        </w:rPr>
        <w:t>11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Februar</w:t>
      </w:r>
      <w:r w:rsidR="00AA66C9">
        <w:rPr>
          <w:rFonts w:ascii="Arial" w:hAnsi="Arial" w:cs="Arial"/>
          <w:b/>
          <w:sz w:val="20"/>
          <w:szCs w:val="20"/>
        </w:rPr>
        <w:t xml:space="preserve"> 20</w:t>
      </w:r>
      <w:r w:rsidR="00475DE6">
        <w:rPr>
          <w:rFonts w:ascii="Arial" w:hAnsi="Arial" w:cs="Arial"/>
          <w:b/>
          <w:sz w:val="20"/>
          <w:szCs w:val="20"/>
        </w:rPr>
        <w:t>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8D0C14">
        <w:rPr>
          <w:rFonts w:ascii="Arial" w:hAnsi="Arial" w:cs="Arial"/>
          <w:b/>
          <w:sz w:val="20"/>
          <w:szCs w:val="20"/>
        </w:rPr>
        <w:t xml:space="preserve"> </w:t>
      </w:r>
      <w:r w:rsidR="003A5494" w:rsidRPr="003A5494">
        <w:rPr>
          <w:rFonts w:ascii="Arial" w:hAnsi="Arial" w:cs="Arial"/>
          <w:sz w:val="20"/>
          <w:szCs w:val="20"/>
        </w:rPr>
        <w:t xml:space="preserve">Höheres Flächenangebot bei sinkender Nachfrage, </w:t>
      </w:r>
      <w:r w:rsidR="008334FF">
        <w:rPr>
          <w:rFonts w:ascii="Arial" w:hAnsi="Arial" w:cs="Arial"/>
          <w:sz w:val="20"/>
          <w:szCs w:val="20"/>
        </w:rPr>
        <w:t>geringere</w:t>
      </w:r>
      <w:r w:rsidR="008E1805">
        <w:rPr>
          <w:rFonts w:ascii="Arial" w:hAnsi="Arial" w:cs="Arial"/>
          <w:sz w:val="20"/>
          <w:szCs w:val="20"/>
        </w:rPr>
        <w:t xml:space="preserve"> Maximalmieten und kleinere Läden, mehr Pop-up-Stores und </w:t>
      </w:r>
      <w:r w:rsidR="003A5494">
        <w:rPr>
          <w:rFonts w:ascii="Arial" w:hAnsi="Arial" w:cs="Arial"/>
          <w:sz w:val="20"/>
          <w:szCs w:val="20"/>
        </w:rPr>
        <w:t>größere Anbieter- und Branchenvielfalt</w:t>
      </w:r>
      <w:r w:rsidR="002E5FC4">
        <w:rPr>
          <w:rFonts w:ascii="Arial" w:hAnsi="Arial" w:cs="Arial"/>
          <w:sz w:val="20"/>
          <w:szCs w:val="20"/>
        </w:rPr>
        <w:t xml:space="preserve">, mehr </w:t>
      </w:r>
      <w:r w:rsidR="00500779">
        <w:rPr>
          <w:rFonts w:ascii="Arial" w:hAnsi="Arial" w:cs="Arial"/>
          <w:sz w:val="20"/>
          <w:szCs w:val="20"/>
        </w:rPr>
        <w:t xml:space="preserve">Bereiche für </w:t>
      </w:r>
      <w:r w:rsidR="002E5FC4">
        <w:rPr>
          <w:rFonts w:ascii="Arial" w:hAnsi="Arial" w:cs="Arial"/>
          <w:sz w:val="20"/>
          <w:szCs w:val="20"/>
        </w:rPr>
        <w:t>Fußgänger</w:t>
      </w:r>
      <w:r w:rsidR="00500779">
        <w:rPr>
          <w:rFonts w:ascii="Arial" w:hAnsi="Arial" w:cs="Arial"/>
          <w:sz w:val="20"/>
          <w:szCs w:val="20"/>
        </w:rPr>
        <w:t xml:space="preserve"> </w:t>
      </w:r>
      <w:r w:rsidR="002E5FC4">
        <w:rPr>
          <w:rFonts w:ascii="Arial" w:hAnsi="Arial" w:cs="Arial"/>
          <w:sz w:val="20"/>
          <w:szCs w:val="20"/>
        </w:rPr>
        <w:t>und weniger motorisierter Individualverkehr</w:t>
      </w:r>
      <w:r w:rsidR="00925A44">
        <w:rPr>
          <w:rFonts w:ascii="Arial" w:hAnsi="Arial" w:cs="Arial"/>
          <w:sz w:val="20"/>
          <w:szCs w:val="20"/>
        </w:rPr>
        <w:t>.</w:t>
      </w:r>
      <w:r w:rsidR="008E1805">
        <w:rPr>
          <w:rFonts w:ascii="Arial" w:hAnsi="Arial" w:cs="Arial"/>
          <w:sz w:val="20"/>
          <w:szCs w:val="20"/>
        </w:rPr>
        <w:t xml:space="preserve"> So lässt sich </w:t>
      </w:r>
      <w:r w:rsidR="00964709">
        <w:rPr>
          <w:rFonts w:ascii="Arial" w:hAnsi="Arial" w:cs="Arial"/>
          <w:sz w:val="20"/>
          <w:szCs w:val="20"/>
        </w:rPr>
        <w:t>die Situation</w:t>
      </w:r>
      <w:r w:rsidR="008E1805">
        <w:rPr>
          <w:rFonts w:ascii="Arial" w:hAnsi="Arial" w:cs="Arial"/>
          <w:sz w:val="20"/>
          <w:szCs w:val="20"/>
        </w:rPr>
        <w:t xml:space="preserve"> auf dem Markt für Laden- und Gastronomieflächen </w:t>
      </w:r>
      <w:r w:rsidR="003A5494">
        <w:rPr>
          <w:rFonts w:ascii="Arial" w:hAnsi="Arial" w:cs="Arial"/>
          <w:sz w:val="20"/>
          <w:szCs w:val="20"/>
        </w:rPr>
        <w:t xml:space="preserve">in der Hamburger Innenstadt </w:t>
      </w:r>
      <w:r w:rsidR="008E1805">
        <w:rPr>
          <w:rFonts w:ascii="Arial" w:hAnsi="Arial" w:cs="Arial"/>
          <w:sz w:val="20"/>
          <w:szCs w:val="20"/>
        </w:rPr>
        <w:t xml:space="preserve">am Jahresende 2021 zusammenfassen. </w:t>
      </w:r>
      <w:r w:rsidR="007D7187">
        <w:rPr>
          <w:rFonts w:ascii="Arial" w:hAnsi="Arial" w:cs="Arial"/>
          <w:sz w:val="20"/>
          <w:szCs w:val="20"/>
        </w:rPr>
        <w:t>Begonnen hat diese Entwicklung angesichts des zunehmenden Online-Handels</w:t>
      </w:r>
      <w:r w:rsidR="002E5FC4">
        <w:rPr>
          <w:rFonts w:ascii="Arial" w:hAnsi="Arial" w:cs="Arial"/>
          <w:sz w:val="20"/>
          <w:szCs w:val="20"/>
        </w:rPr>
        <w:t xml:space="preserve"> bereits</w:t>
      </w:r>
      <w:r w:rsidR="007D7187">
        <w:rPr>
          <w:rFonts w:ascii="Arial" w:hAnsi="Arial" w:cs="Arial"/>
          <w:sz w:val="20"/>
          <w:szCs w:val="20"/>
        </w:rPr>
        <w:t xml:space="preserve"> lange vor der Pandemie. Durch</w:t>
      </w:r>
      <w:r w:rsidR="006D4458">
        <w:rPr>
          <w:rFonts w:ascii="Arial" w:hAnsi="Arial" w:cs="Arial"/>
          <w:sz w:val="20"/>
          <w:szCs w:val="20"/>
        </w:rPr>
        <w:t xml:space="preserve"> Corona</w:t>
      </w:r>
      <w:r w:rsidR="007D7187">
        <w:rPr>
          <w:rFonts w:ascii="Arial" w:hAnsi="Arial" w:cs="Arial"/>
          <w:sz w:val="20"/>
          <w:szCs w:val="20"/>
        </w:rPr>
        <w:t xml:space="preserve"> haben sich einige dieser Trends </w:t>
      </w:r>
      <w:r w:rsidR="002E5FC4">
        <w:rPr>
          <w:rFonts w:ascii="Arial" w:hAnsi="Arial" w:cs="Arial"/>
          <w:sz w:val="20"/>
          <w:szCs w:val="20"/>
        </w:rPr>
        <w:t xml:space="preserve">allerdings </w:t>
      </w:r>
      <w:r w:rsidR="007D7187">
        <w:rPr>
          <w:rFonts w:ascii="Arial" w:hAnsi="Arial" w:cs="Arial"/>
          <w:sz w:val="20"/>
          <w:szCs w:val="20"/>
        </w:rPr>
        <w:t xml:space="preserve">verstärkt. </w:t>
      </w:r>
      <w:r w:rsidR="007D7187" w:rsidRPr="007D7187">
        <w:rPr>
          <w:rFonts w:ascii="Arial" w:hAnsi="Arial" w:cs="Arial"/>
          <w:i/>
          <w:sz w:val="20"/>
          <w:szCs w:val="20"/>
        </w:rPr>
        <w:t>„</w:t>
      </w:r>
      <w:r w:rsidR="001068F3" w:rsidRPr="0043229D">
        <w:rPr>
          <w:rFonts w:ascii="Arial" w:hAnsi="Arial" w:cs="Arial"/>
          <w:i/>
          <w:sz w:val="20"/>
          <w:szCs w:val="20"/>
        </w:rPr>
        <w:t>Vielfalt belebt die Innenstadt und dies wiederum das Geschäft.</w:t>
      </w:r>
      <w:r w:rsidR="001068F3">
        <w:rPr>
          <w:rFonts w:ascii="Arial" w:hAnsi="Arial" w:cs="Arial"/>
          <w:i/>
          <w:sz w:val="20"/>
          <w:szCs w:val="20"/>
        </w:rPr>
        <w:t xml:space="preserve"> </w:t>
      </w:r>
      <w:r w:rsidR="002E5FC4">
        <w:rPr>
          <w:rFonts w:ascii="Arial" w:hAnsi="Arial" w:cs="Arial"/>
          <w:i/>
          <w:sz w:val="20"/>
          <w:szCs w:val="20"/>
        </w:rPr>
        <w:t>Wenn sich hier also neue Konzepte ansiedeln oder Unternehmen günstigere Standorte finden, die ihnen die langfristige Fortführung ihres Geschäftsbetriebs erlauben,</w:t>
      </w:r>
      <w:r w:rsidR="007D7187">
        <w:rPr>
          <w:rFonts w:ascii="Arial" w:hAnsi="Arial" w:cs="Arial"/>
          <w:i/>
          <w:sz w:val="20"/>
          <w:szCs w:val="20"/>
        </w:rPr>
        <w:t xml:space="preserve"> </w:t>
      </w:r>
      <w:r w:rsidR="008266DF">
        <w:rPr>
          <w:rFonts w:ascii="Arial" w:hAnsi="Arial" w:cs="Arial"/>
          <w:i/>
          <w:sz w:val="20"/>
          <w:szCs w:val="20"/>
        </w:rPr>
        <w:t>sichert</w:t>
      </w:r>
      <w:r w:rsidR="002E5FC4">
        <w:rPr>
          <w:rFonts w:ascii="Arial" w:hAnsi="Arial" w:cs="Arial"/>
          <w:i/>
          <w:sz w:val="20"/>
          <w:szCs w:val="20"/>
        </w:rPr>
        <w:t xml:space="preserve"> </w:t>
      </w:r>
      <w:r w:rsidR="008266DF">
        <w:rPr>
          <w:rFonts w:ascii="Arial" w:hAnsi="Arial" w:cs="Arial"/>
          <w:i/>
          <w:sz w:val="20"/>
          <w:szCs w:val="20"/>
        </w:rPr>
        <w:t>dies die</w:t>
      </w:r>
      <w:r w:rsidR="007D7187">
        <w:rPr>
          <w:rFonts w:ascii="Arial" w:hAnsi="Arial" w:cs="Arial"/>
          <w:i/>
          <w:sz w:val="20"/>
          <w:szCs w:val="20"/>
        </w:rPr>
        <w:t xml:space="preserve"> Attraktivität unserer Innenstadt</w:t>
      </w:r>
      <w:r w:rsidR="007D7187" w:rsidRPr="007D7187">
        <w:rPr>
          <w:rFonts w:ascii="Arial" w:hAnsi="Arial" w:cs="Arial"/>
          <w:i/>
          <w:sz w:val="20"/>
          <w:szCs w:val="20"/>
        </w:rPr>
        <w:t>“,</w:t>
      </w:r>
      <w:r w:rsidR="007D7187">
        <w:rPr>
          <w:rFonts w:ascii="Arial" w:hAnsi="Arial" w:cs="Arial"/>
          <w:sz w:val="20"/>
          <w:szCs w:val="20"/>
        </w:rPr>
        <w:t xml:space="preserve"> </w:t>
      </w:r>
      <w:r w:rsidR="00500779">
        <w:rPr>
          <w:rFonts w:ascii="Arial" w:hAnsi="Arial" w:cs="Arial"/>
          <w:sz w:val="20"/>
          <w:szCs w:val="20"/>
        </w:rPr>
        <w:t>kommentiert</w:t>
      </w:r>
      <w:r w:rsidR="007D7187">
        <w:rPr>
          <w:rFonts w:ascii="Arial" w:hAnsi="Arial" w:cs="Arial"/>
          <w:sz w:val="20"/>
          <w:szCs w:val="20"/>
        </w:rPr>
        <w:t xml:space="preserve"> </w:t>
      </w:r>
      <w:r w:rsidR="007D7187" w:rsidRPr="007D7187">
        <w:rPr>
          <w:rFonts w:ascii="Arial" w:hAnsi="Arial" w:cs="Arial"/>
          <w:b/>
          <w:sz w:val="20"/>
          <w:szCs w:val="20"/>
        </w:rPr>
        <w:t>Sven Bechert</w:t>
      </w:r>
      <w:r w:rsidR="007D7187">
        <w:rPr>
          <w:rFonts w:ascii="Arial" w:hAnsi="Arial" w:cs="Arial"/>
          <w:sz w:val="20"/>
          <w:szCs w:val="20"/>
        </w:rPr>
        <w:t xml:space="preserve">, </w:t>
      </w:r>
      <w:r w:rsidR="000F7183">
        <w:rPr>
          <w:rFonts w:ascii="Arial" w:hAnsi="Arial" w:cs="Arial"/>
          <w:sz w:val="20"/>
          <w:szCs w:val="20"/>
        </w:rPr>
        <w:t>Bereichsleiter</w:t>
      </w:r>
      <w:r w:rsidR="007D7187">
        <w:rPr>
          <w:rFonts w:ascii="Arial" w:hAnsi="Arial" w:cs="Arial"/>
          <w:sz w:val="20"/>
          <w:szCs w:val="20"/>
        </w:rPr>
        <w:t xml:space="preserve"> Laden &amp; Gastronomie bei Grossmann &amp; Berger, Mitglied von German Property Partners (GPP)</w:t>
      </w:r>
      <w:r w:rsidR="001068F3">
        <w:rPr>
          <w:rFonts w:ascii="Arial" w:hAnsi="Arial" w:cs="Arial"/>
          <w:sz w:val="20"/>
          <w:szCs w:val="20"/>
        </w:rPr>
        <w:t>.</w:t>
      </w:r>
    </w:p>
    <w:p w14:paraId="4D33A828" w14:textId="77777777" w:rsidR="001068F3" w:rsidRDefault="001068F3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16F7266B" w14:textId="0113C060" w:rsidR="002A76D5" w:rsidRPr="00A57D84" w:rsidRDefault="00E72F93" w:rsidP="002A76D5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Anhaltendes Vertrauen in die Attraktivität der Innenstadt</w:t>
      </w:r>
    </w:p>
    <w:p w14:paraId="22899643" w14:textId="797675E0" w:rsidR="002A76D5" w:rsidRPr="00562976" w:rsidRDefault="001068F3" w:rsidP="002A76D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 Jahr zwei der Corona-Pandemie zeigten sich trotz aller Unwägbarkeiten erste Erholungs</w:t>
      </w:r>
      <w:r w:rsidR="002E5FC4">
        <w:rPr>
          <w:rFonts w:ascii="Arial" w:hAnsi="Arial" w:cs="Arial"/>
          <w:sz w:val="20"/>
          <w:szCs w:val="20"/>
        </w:rPr>
        <w:t>tendenzen</w:t>
      </w:r>
      <w:r>
        <w:rPr>
          <w:rFonts w:ascii="Arial" w:hAnsi="Arial" w:cs="Arial"/>
          <w:sz w:val="20"/>
          <w:szCs w:val="20"/>
        </w:rPr>
        <w:t xml:space="preserve">. </w:t>
      </w:r>
      <w:r w:rsidR="002E5FC4">
        <w:rPr>
          <w:rFonts w:ascii="Arial" w:hAnsi="Arial" w:cs="Arial"/>
          <w:sz w:val="20"/>
          <w:szCs w:val="20"/>
        </w:rPr>
        <w:t xml:space="preserve">Im vergangenen Jahr wurden in der Hamburger Innenstadt über 22.000 m² </w:t>
      </w:r>
      <w:r w:rsidR="00EF6B2D">
        <w:rPr>
          <w:rFonts w:ascii="Arial" w:hAnsi="Arial" w:cs="Arial"/>
          <w:sz w:val="20"/>
          <w:szCs w:val="20"/>
        </w:rPr>
        <w:t xml:space="preserve">Laden- und Gastronomiefläche </w:t>
      </w:r>
      <w:r w:rsidR="002E5FC4">
        <w:rPr>
          <w:rFonts w:ascii="Arial" w:hAnsi="Arial" w:cs="Arial"/>
          <w:sz w:val="20"/>
          <w:szCs w:val="20"/>
        </w:rPr>
        <w:t xml:space="preserve">neu vermietet. 2020 waren es rund 16.300 m². </w:t>
      </w:r>
      <w:r w:rsidR="002E5FC4" w:rsidRPr="004F6F4D">
        <w:rPr>
          <w:rFonts w:ascii="Arial" w:hAnsi="Arial" w:cs="Arial"/>
          <w:i/>
          <w:sz w:val="20"/>
          <w:szCs w:val="20"/>
        </w:rPr>
        <w:t>„</w:t>
      </w:r>
      <w:r w:rsidR="00500779">
        <w:rPr>
          <w:rFonts w:ascii="Arial" w:hAnsi="Arial" w:cs="Arial"/>
          <w:i/>
          <w:sz w:val="20"/>
          <w:szCs w:val="20"/>
        </w:rPr>
        <w:t>Daran lässt sich ablesen</w:t>
      </w:r>
      <w:r w:rsidR="004F6F4D" w:rsidRPr="004F6F4D">
        <w:rPr>
          <w:rFonts w:ascii="Arial" w:hAnsi="Arial" w:cs="Arial"/>
          <w:i/>
          <w:sz w:val="20"/>
          <w:szCs w:val="20"/>
        </w:rPr>
        <w:t xml:space="preserve">, dass das Vertrauen in die Attraktivität der </w:t>
      </w:r>
      <w:r w:rsidR="004F6F4D">
        <w:rPr>
          <w:rFonts w:ascii="Arial" w:hAnsi="Arial" w:cs="Arial"/>
          <w:i/>
          <w:sz w:val="20"/>
          <w:szCs w:val="20"/>
        </w:rPr>
        <w:t xml:space="preserve">Hamburger </w:t>
      </w:r>
      <w:r w:rsidR="004F6F4D" w:rsidRPr="004F6F4D">
        <w:rPr>
          <w:rFonts w:ascii="Arial" w:hAnsi="Arial" w:cs="Arial"/>
          <w:i/>
          <w:sz w:val="20"/>
          <w:szCs w:val="20"/>
        </w:rPr>
        <w:t xml:space="preserve">Innenstadt </w:t>
      </w:r>
      <w:r w:rsidR="00FA35DB">
        <w:rPr>
          <w:rFonts w:ascii="Arial" w:hAnsi="Arial" w:cs="Arial"/>
          <w:i/>
          <w:sz w:val="20"/>
          <w:szCs w:val="20"/>
        </w:rPr>
        <w:t>groß</w:t>
      </w:r>
      <w:r w:rsidR="00EF6B2D">
        <w:rPr>
          <w:rFonts w:ascii="Arial" w:hAnsi="Arial" w:cs="Arial"/>
          <w:i/>
          <w:sz w:val="20"/>
          <w:szCs w:val="20"/>
        </w:rPr>
        <w:t xml:space="preserve"> ist</w:t>
      </w:r>
      <w:r w:rsidR="004F6F4D" w:rsidRPr="004F6F4D">
        <w:rPr>
          <w:rFonts w:ascii="Arial" w:hAnsi="Arial" w:cs="Arial"/>
          <w:i/>
          <w:sz w:val="20"/>
          <w:szCs w:val="20"/>
        </w:rPr>
        <w:t xml:space="preserve">“, </w:t>
      </w:r>
      <w:r w:rsidR="004F6F4D">
        <w:rPr>
          <w:rFonts w:ascii="Arial" w:hAnsi="Arial" w:cs="Arial"/>
          <w:sz w:val="20"/>
          <w:szCs w:val="20"/>
        </w:rPr>
        <w:t xml:space="preserve">sagt </w:t>
      </w:r>
      <w:r w:rsidR="004F6F4D" w:rsidRPr="004F6F4D">
        <w:rPr>
          <w:rFonts w:ascii="Arial" w:hAnsi="Arial" w:cs="Arial"/>
          <w:b/>
          <w:sz w:val="20"/>
          <w:szCs w:val="20"/>
        </w:rPr>
        <w:t>Bechert</w:t>
      </w:r>
      <w:r w:rsidR="004F6F4D">
        <w:rPr>
          <w:rFonts w:ascii="Arial" w:hAnsi="Arial" w:cs="Arial"/>
          <w:sz w:val="20"/>
          <w:szCs w:val="20"/>
        </w:rPr>
        <w:t xml:space="preserve">. </w:t>
      </w:r>
      <w:r w:rsidR="00596BBF">
        <w:rPr>
          <w:rFonts w:ascii="Arial" w:hAnsi="Arial" w:cs="Arial"/>
          <w:sz w:val="20"/>
          <w:szCs w:val="20"/>
        </w:rPr>
        <w:t xml:space="preserve">Einen </w:t>
      </w:r>
      <w:r w:rsidR="00FA35DB">
        <w:rPr>
          <w:rFonts w:ascii="Arial" w:hAnsi="Arial" w:cs="Arial"/>
          <w:sz w:val="20"/>
          <w:szCs w:val="20"/>
        </w:rPr>
        <w:t>noch größeren</w:t>
      </w:r>
      <w:r w:rsidR="00596BBF">
        <w:rPr>
          <w:rFonts w:ascii="Arial" w:hAnsi="Arial" w:cs="Arial"/>
          <w:sz w:val="20"/>
          <w:szCs w:val="20"/>
        </w:rPr>
        <w:t xml:space="preserve"> Anteil </w:t>
      </w:r>
      <w:r w:rsidR="00D479A5">
        <w:rPr>
          <w:rFonts w:ascii="Arial" w:hAnsi="Arial" w:cs="Arial"/>
          <w:sz w:val="20"/>
          <w:szCs w:val="20"/>
        </w:rPr>
        <w:t xml:space="preserve">an dem deutlich gestiegenen Flächenumsatz </w:t>
      </w:r>
      <w:r w:rsidR="00FA35DB">
        <w:rPr>
          <w:rFonts w:ascii="Arial" w:hAnsi="Arial" w:cs="Arial"/>
          <w:sz w:val="20"/>
          <w:szCs w:val="20"/>
        </w:rPr>
        <w:t xml:space="preserve">als in den Vorjahren </w:t>
      </w:r>
      <w:r w:rsidR="00596BBF">
        <w:rPr>
          <w:rFonts w:ascii="Arial" w:hAnsi="Arial" w:cs="Arial"/>
          <w:sz w:val="20"/>
          <w:szCs w:val="20"/>
        </w:rPr>
        <w:t>hatten Pop-up-Stores</w:t>
      </w:r>
      <w:r w:rsidR="000917A8">
        <w:rPr>
          <w:rFonts w:ascii="Arial" w:hAnsi="Arial" w:cs="Arial"/>
          <w:sz w:val="20"/>
          <w:szCs w:val="20"/>
        </w:rPr>
        <w:t xml:space="preserve">. Beispielhaft seien hier </w:t>
      </w:r>
      <w:r w:rsidR="008776F7">
        <w:rPr>
          <w:rFonts w:ascii="Arial" w:hAnsi="Arial" w:cs="Arial"/>
          <w:sz w:val="20"/>
          <w:szCs w:val="20"/>
        </w:rPr>
        <w:t>„</w:t>
      </w:r>
      <w:proofErr w:type="spellStart"/>
      <w:r w:rsidR="00531C4B">
        <w:rPr>
          <w:rFonts w:ascii="Arial" w:hAnsi="Arial" w:cs="Arial"/>
          <w:sz w:val="20"/>
          <w:szCs w:val="20"/>
        </w:rPr>
        <w:t>Lynk</w:t>
      </w:r>
      <w:proofErr w:type="spellEnd"/>
      <w:r w:rsidR="00531C4B">
        <w:rPr>
          <w:rFonts w:ascii="Arial" w:hAnsi="Arial" w:cs="Arial"/>
          <w:sz w:val="20"/>
          <w:szCs w:val="20"/>
        </w:rPr>
        <w:t xml:space="preserve"> Co.</w:t>
      </w:r>
      <w:r w:rsidR="008776F7">
        <w:rPr>
          <w:rFonts w:ascii="Arial" w:hAnsi="Arial" w:cs="Arial"/>
          <w:sz w:val="20"/>
          <w:szCs w:val="20"/>
        </w:rPr>
        <w:t>“</w:t>
      </w:r>
      <w:r w:rsidR="00531C4B">
        <w:rPr>
          <w:rFonts w:ascii="Arial" w:hAnsi="Arial" w:cs="Arial"/>
          <w:sz w:val="20"/>
          <w:szCs w:val="20"/>
        </w:rPr>
        <w:t xml:space="preserve"> und </w:t>
      </w:r>
      <w:r w:rsidR="008776F7">
        <w:rPr>
          <w:rFonts w:ascii="Arial" w:hAnsi="Arial" w:cs="Arial"/>
          <w:sz w:val="20"/>
          <w:szCs w:val="20"/>
        </w:rPr>
        <w:t>„</w:t>
      </w:r>
      <w:proofErr w:type="spellStart"/>
      <w:r w:rsidR="00531C4B">
        <w:rPr>
          <w:rFonts w:ascii="Arial" w:hAnsi="Arial" w:cs="Arial"/>
          <w:sz w:val="20"/>
          <w:szCs w:val="20"/>
        </w:rPr>
        <w:t>by</w:t>
      </w:r>
      <w:proofErr w:type="spellEnd"/>
      <w:r w:rsidR="00531C4B">
        <w:rPr>
          <w:rFonts w:ascii="Arial" w:hAnsi="Arial" w:cs="Arial"/>
          <w:sz w:val="20"/>
          <w:szCs w:val="20"/>
        </w:rPr>
        <w:t xml:space="preserve"> Aylin </w:t>
      </w:r>
      <w:proofErr w:type="spellStart"/>
      <w:r w:rsidR="00531C4B">
        <w:rPr>
          <w:rFonts w:ascii="Arial" w:hAnsi="Arial" w:cs="Arial"/>
          <w:sz w:val="20"/>
          <w:szCs w:val="20"/>
        </w:rPr>
        <w:t>Koenig</w:t>
      </w:r>
      <w:proofErr w:type="spellEnd"/>
      <w:r w:rsidR="008776F7">
        <w:rPr>
          <w:rFonts w:ascii="Arial" w:hAnsi="Arial" w:cs="Arial"/>
          <w:sz w:val="20"/>
          <w:szCs w:val="20"/>
        </w:rPr>
        <w:t>“</w:t>
      </w:r>
      <w:r w:rsidR="00531C4B">
        <w:rPr>
          <w:rFonts w:ascii="Arial" w:hAnsi="Arial" w:cs="Arial"/>
          <w:sz w:val="20"/>
          <w:szCs w:val="20"/>
        </w:rPr>
        <w:t xml:space="preserve"> am Alten Wall genannt sowie </w:t>
      </w:r>
      <w:r w:rsidR="008776F7">
        <w:rPr>
          <w:rFonts w:ascii="Arial" w:hAnsi="Arial" w:cs="Arial"/>
          <w:sz w:val="20"/>
          <w:szCs w:val="20"/>
        </w:rPr>
        <w:t>„</w:t>
      </w:r>
      <w:r w:rsidR="00531C4B">
        <w:rPr>
          <w:rFonts w:ascii="Arial" w:hAnsi="Arial" w:cs="Arial"/>
          <w:sz w:val="20"/>
          <w:szCs w:val="20"/>
        </w:rPr>
        <w:t>Mö</w:t>
      </w:r>
      <w:r w:rsidR="00531C4B" w:rsidRPr="00531C4B">
        <w:rPr>
          <w:rFonts w:ascii="Arial" w:hAnsi="Arial" w:cs="Arial"/>
          <w:sz w:val="20"/>
          <w:szCs w:val="20"/>
          <w:vertAlign w:val="superscript"/>
        </w:rPr>
        <w:t>3</w:t>
      </w:r>
      <w:r w:rsidR="008776F7" w:rsidRPr="008776F7">
        <w:rPr>
          <w:rFonts w:ascii="Arial" w:hAnsi="Arial" w:cs="Arial"/>
          <w:sz w:val="20"/>
          <w:szCs w:val="20"/>
        </w:rPr>
        <w:t>“</w:t>
      </w:r>
      <w:r w:rsidR="00531C4B">
        <w:rPr>
          <w:rFonts w:ascii="Arial" w:hAnsi="Arial" w:cs="Arial"/>
          <w:sz w:val="20"/>
          <w:szCs w:val="20"/>
        </w:rPr>
        <w:t xml:space="preserve"> im ehemaligen Kaufhof </w:t>
      </w:r>
      <w:r w:rsidR="00BD5E7A">
        <w:rPr>
          <w:rFonts w:ascii="Arial" w:hAnsi="Arial" w:cs="Arial"/>
          <w:sz w:val="20"/>
          <w:szCs w:val="20"/>
        </w:rPr>
        <w:t>in der</w:t>
      </w:r>
      <w:r w:rsidR="00531C4B">
        <w:rPr>
          <w:rFonts w:ascii="Arial" w:hAnsi="Arial" w:cs="Arial"/>
          <w:sz w:val="20"/>
          <w:szCs w:val="20"/>
        </w:rPr>
        <w:t xml:space="preserve"> Mönckebergstraße. Allein letzterer </w:t>
      </w:r>
      <w:r w:rsidR="008E4A16">
        <w:rPr>
          <w:rFonts w:ascii="Arial" w:hAnsi="Arial" w:cs="Arial"/>
          <w:sz w:val="20"/>
          <w:szCs w:val="20"/>
        </w:rPr>
        <w:t>trug</w:t>
      </w:r>
      <w:r w:rsidR="00531C4B">
        <w:rPr>
          <w:rFonts w:ascii="Arial" w:hAnsi="Arial" w:cs="Arial"/>
          <w:sz w:val="20"/>
          <w:szCs w:val="20"/>
        </w:rPr>
        <w:t xml:space="preserve"> </w:t>
      </w:r>
      <w:r w:rsidR="00D24F5F">
        <w:rPr>
          <w:rFonts w:ascii="Arial" w:hAnsi="Arial" w:cs="Arial"/>
          <w:sz w:val="20"/>
          <w:szCs w:val="20"/>
        </w:rPr>
        <w:t xml:space="preserve">mit </w:t>
      </w:r>
      <w:r w:rsidR="00531C4B">
        <w:rPr>
          <w:rFonts w:ascii="Arial" w:hAnsi="Arial" w:cs="Arial"/>
          <w:sz w:val="20"/>
          <w:szCs w:val="20"/>
        </w:rPr>
        <w:t>rund 3.000 m²</w:t>
      </w:r>
      <w:r w:rsidR="008E4A16">
        <w:rPr>
          <w:rFonts w:ascii="Arial" w:hAnsi="Arial" w:cs="Arial"/>
          <w:sz w:val="20"/>
          <w:szCs w:val="20"/>
        </w:rPr>
        <w:t xml:space="preserve"> zum Flächenumsatz bei</w:t>
      </w:r>
      <w:r w:rsidR="00315F31">
        <w:rPr>
          <w:rFonts w:ascii="Arial" w:hAnsi="Arial" w:cs="Arial"/>
          <w:sz w:val="20"/>
          <w:szCs w:val="20"/>
        </w:rPr>
        <w:t xml:space="preserve"> und war </w:t>
      </w:r>
      <w:r w:rsidR="004B00B8">
        <w:rPr>
          <w:rFonts w:ascii="Arial" w:hAnsi="Arial" w:cs="Arial"/>
          <w:sz w:val="20"/>
          <w:szCs w:val="20"/>
        </w:rPr>
        <w:t xml:space="preserve">damit </w:t>
      </w:r>
      <w:r w:rsidR="00965EF2">
        <w:rPr>
          <w:rFonts w:ascii="Arial" w:hAnsi="Arial" w:cs="Arial"/>
          <w:sz w:val="20"/>
          <w:szCs w:val="20"/>
        </w:rPr>
        <w:t xml:space="preserve">2021 </w:t>
      </w:r>
      <w:r w:rsidR="004B00B8">
        <w:rPr>
          <w:rFonts w:ascii="Arial" w:hAnsi="Arial" w:cs="Arial"/>
          <w:sz w:val="20"/>
          <w:szCs w:val="20"/>
        </w:rPr>
        <w:t>der größte Vertragsa</w:t>
      </w:r>
      <w:r w:rsidR="00315F31">
        <w:rPr>
          <w:rFonts w:ascii="Arial" w:hAnsi="Arial" w:cs="Arial"/>
          <w:sz w:val="20"/>
          <w:szCs w:val="20"/>
        </w:rPr>
        <w:t>bschluss</w:t>
      </w:r>
      <w:r w:rsidR="00531C4B">
        <w:rPr>
          <w:rFonts w:ascii="Arial" w:hAnsi="Arial" w:cs="Arial"/>
          <w:sz w:val="20"/>
          <w:szCs w:val="20"/>
        </w:rPr>
        <w:t>.</w:t>
      </w:r>
    </w:p>
    <w:p w14:paraId="13565572" w14:textId="77777777" w:rsidR="002A76D5" w:rsidRDefault="002A76D5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218A65E" w14:textId="1CBE8737" w:rsidR="00287C99" w:rsidRDefault="0064036C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Mieten runter, Vielfalt </w:t>
      </w:r>
      <w:r w:rsidR="003D36FE">
        <w:rPr>
          <w:rFonts w:ascii="Arial" w:hAnsi="Arial" w:cs="Arial"/>
          <w:b/>
          <w:sz w:val="20"/>
          <w:szCs w:val="20"/>
        </w:rPr>
        <w:t>rauf</w:t>
      </w:r>
    </w:p>
    <w:p w14:paraId="36B34794" w14:textId="636CD683" w:rsidR="00287C99" w:rsidRDefault="00BD5E7A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Gleichwohl war diese </w:t>
      </w:r>
      <w:r w:rsidR="008E6626">
        <w:rPr>
          <w:rFonts w:ascii="Arial" w:hAnsi="Arial" w:cs="Arial"/>
          <w:sz w:val="20"/>
          <w:szCs w:val="20"/>
        </w:rPr>
        <w:t xml:space="preserve">positive </w:t>
      </w:r>
      <w:r>
        <w:rPr>
          <w:rFonts w:ascii="Arial" w:hAnsi="Arial" w:cs="Arial"/>
          <w:sz w:val="20"/>
          <w:szCs w:val="20"/>
        </w:rPr>
        <w:t xml:space="preserve">Entwicklung nur durch moderatere Mieten möglich. </w:t>
      </w:r>
      <w:r w:rsidR="00980DD7">
        <w:rPr>
          <w:rFonts w:ascii="Arial" w:hAnsi="Arial" w:cs="Arial"/>
          <w:sz w:val="20"/>
          <w:szCs w:val="20"/>
        </w:rPr>
        <w:t xml:space="preserve">Verglichen mit 2019 </w:t>
      </w:r>
      <w:r w:rsidR="00D479A5">
        <w:rPr>
          <w:rFonts w:ascii="Arial" w:hAnsi="Arial" w:cs="Arial"/>
          <w:sz w:val="20"/>
          <w:szCs w:val="20"/>
        </w:rPr>
        <w:t>beziffert Grossmann &amp; Berger</w:t>
      </w:r>
      <w:r w:rsidR="00980DD7">
        <w:rPr>
          <w:rFonts w:ascii="Arial" w:hAnsi="Arial" w:cs="Arial"/>
          <w:sz w:val="20"/>
          <w:szCs w:val="20"/>
        </w:rPr>
        <w:t xml:space="preserve"> </w:t>
      </w:r>
      <w:r w:rsidR="00D479A5">
        <w:rPr>
          <w:rFonts w:ascii="Arial" w:hAnsi="Arial" w:cs="Arial"/>
          <w:sz w:val="20"/>
          <w:szCs w:val="20"/>
        </w:rPr>
        <w:t xml:space="preserve">beispielsweise </w:t>
      </w:r>
      <w:r w:rsidR="00980DD7">
        <w:rPr>
          <w:rFonts w:ascii="Arial" w:hAnsi="Arial" w:cs="Arial"/>
          <w:sz w:val="20"/>
          <w:szCs w:val="20"/>
        </w:rPr>
        <w:t xml:space="preserve">die </w:t>
      </w:r>
      <w:r w:rsidR="00D479A5">
        <w:rPr>
          <w:rFonts w:ascii="Arial" w:hAnsi="Arial" w:cs="Arial"/>
          <w:sz w:val="20"/>
          <w:szCs w:val="20"/>
        </w:rPr>
        <w:t xml:space="preserve">aktuell </w:t>
      </w:r>
      <w:r w:rsidR="00980DD7">
        <w:rPr>
          <w:rFonts w:ascii="Arial" w:hAnsi="Arial" w:cs="Arial"/>
          <w:sz w:val="20"/>
          <w:szCs w:val="20"/>
        </w:rPr>
        <w:t xml:space="preserve">erzielbare Maximalmiete am Neuen Wall für 80 bis 120 m² </w:t>
      </w:r>
      <w:r w:rsidR="00E72F93">
        <w:rPr>
          <w:rFonts w:ascii="Arial" w:hAnsi="Arial" w:cs="Arial"/>
          <w:sz w:val="20"/>
          <w:szCs w:val="20"/>
        </w:rPr>
        <w:t xml:space="preserve">große Flächen um 11 % </w:t>
      </w:r>
      <w:r w:rsidR="00D479A5">
        <w:rPr>
          <w:rFonts w:ascii="Arial" w:hAnsi="Arial" w:cs="Arial"/>
          <w:sz w:val="20"/>
          <w:szCs w:val="20"/>
        </w:rPr>
        <w:t>niedriger</w:t>
      </w:r>
      <w:r w:rsidR="00980DD7">
        <w:rPr>
          <w:rFonts w:ascii="Arial" w:hAnsi="Arial" w:cs="Arial"/>
          <w:sz w:val="20"/>
          <w:szCs w:val="20"/>
        </w:rPr>
        <w:t xml:space="preserve"> und für 300 bis 500 m² große Läden</w:t>
      </w:r>
      <w:r w:rsidR="00E72F93" w:rsidRPr="00E72F93">
        <w:rPr>
          <w:rFonts w:ascii="Arial" w:hAnsi="Arial" w:cs="Arial"/>
          <w:sz w:val="20"/>
          <w:szCs w:val="20"/>
        </w:rPr>
        <w:t xml:space="preserve"> </w:t>
      </w:r>
      <w:r w:rsidR="00E72F93">
        <w:rPr>
          <w:rFonts w:ascii="Arial" w:hAnsi="Arial" w:cs="Arial"/>
          <w:sz w:val="20"/>
          <w:szCs w:val="20"/>
        </w:rPr>
        <w:t>um 17 %</w:t>
      </w:r>
      <w:r w:rsidR="00980DD7">
        <w:rPr>
          <w:rFonts w:ascii="Arial" w:hAnsi="Arial" w:cs="Arial"/>
          <w:sz w:val="20"/>
          <w:szCs w:val="20"/>
        </w:rPr>
        <w:t xml:space="preserve">. </w:t>
      </w:r>
      <w:r w:rsidR="00E72F93">
        <w:rPr>
          <w:rFonts w:ascii="Arial" w:hAnsi="Arial" w:cs="Arial"/>
          <w:sz w:val="20"/>
          <w:szCs w:val="20"/>
        </w:rPr>
        <w:t xml:space="preserve">Ähnlich </w:t>
      </w:r>
      <w:r w:rsidR="00AD50B3">
        <w:rPr>
          <w:rFonts w:ascii="Arial" w:hAnsi="Arial" w:cs="Arial"/>
          <w:sz w:val="20"/>
          <w:szCs w:val="20"/>
        </w:rPr>
        <w:t>entwick</w:t>
      </w:r>
      <w:r w:rsidR="00D479A5">
        <w:rPr>
          <w:rFonts w:ascii="Arial" w:hAnsi="Arial" w:cs="Arial"/>
          <w:sz w:val="20"/>
          <w:szCs w:val="20"/>
        </w:rPr>
        <w:t>e</w:t>
      </w:r>
      <w:r w:rsidR="00AD50B3">
        <w:rPr>
          <w:rFonts w:ascii="Arial" w:hAnsi="Arial" w:cs="Arial"/>
          <w:sz w:val="20"/>
          <w:szCs w:val="20"/>
        </w:rPr>
        <w:t>l</w:t>
      </w:r>
      <w:r w:rsidR="00D479A5">
        <w:rPr>
          <w:rFonts w:ascii="Arial" w:hAnsi="Arial" w:cs="Arial"/>
          <w:sz w:val="20"/>
          <w:szCs w:val="20"/>
        </w:rPr>
        <w:t xml:space="preserve">n sich die Maximalmieten auch </w:t>
      </w:r>
      <w:r w:rsidR="00E72F93">
        <w:rPr>
          <w:rFonts w:ascii="Arial" w:hAnsi="Arial" w:cs="Arial"/>
          <w:sz w:val="20"/>
          <w:szCs w:val="20"/>
        </w:rPr>
        <w:t xml:space="preserve">in den anderen 1A-Lagen der Hamburger Innenstadt. </w:t>
      </w:r>
      <w:r w:rsidR="00FA35DB">
        <w:rPr>
          <w:rFonts w:ascii="Arial" w:hAnsi="Arial" w:cs="Arial"/>
          <w:sz w:val="20"/>
          <w:szCs w:val="20"/>
        </w:rPr>
        <w:t>Die teuersten Einkaufsstraßen der City</w:t>
      </w:r>
      <w:r w:rsidR="00D479A5">
        <w:rPr>
          <w:rFonts w:ascii="Arial" w:hAnsi="Arial" w:cs="Arial"/>
          <w:sz w:val="20"/>
          <w:szCs w:val="20"/>
        </w:rPr>
        <w:t xml:space="preserve"> bleiben</w:t>
      </w:r>
      <w:r w:rsidR="00FA35DB">
        <w:rPr>
          <w:rFonts w:ascii="Arial" w:hAnsi="Arial" w:cs="Arial"/>
          <w:sz w:val="20"/>
          <w:szCs w:val="20"/>
        </w:rPr>
        <w:t xml:space="preserve"> die Spitalerstraße, der Neue Wall und die Mönckebergstraße.</w:t>
      </w:r>
      <w:r w:rsidR="00E72C33">
        <w:rPr>
          <w:rFonts w:ascii="Arial" w:hAnsi="Arial" w:cs="Arial"/>
          <w:sz w:val="20"/>
          <w:szCs w:val="20"/>
        </w:rPr>
        <w:t xml:space="preserve"> </w:t>
      </w:r>
      <w:r w:rsidR="00AE66F8">
        <w:rPr>
          <w:rFonts w:ascii="Arial" w:hAnsi="Arial" w:cs="Arial"/>
          <w:sz w:val="20"/>
          <w:szCs w:val="20"/>
        </w:rPr>
        <w:t>Für die</w:t>
      </w:r>
      <w:r w:rsidR="008E6626">
        <w:rPr>
          <w:rFonts w:ascii="Arial" w:hAnsi="Arial" w:cs="Arial"/>
          <w:sz w:val="20"/>
          <w:szCs w:val="20"/>
        </w:rPr>
        <w:t xml:space="preserve"> Ho</w:t>
      </w:r>
      <w:r w:rsidR="00D479A5">
        <w:rPr>
          <w:rFonts w:ascii="Arial" w:hAnsi="Arial" w:cs="Arial"/>
          <w:sz w:val="20"/>
          <w:szCs w:val="20"/>
        </w:rPr>
        <w:t xml:space="preserve">chfrequenzlage Spitalerstraße </w:t>
      </w:r>
      <w:r w:rsidR="00AE66F8">
        <w:rPr>
          <w:rFonts w:ascii="Arial" w:hAnsi="Arial" w:cs="Arial"/>
          <w:sz w:val="20"/>
          <w:szCs w:val="20"/>
        </w:rPr>
        <w:t>prognostiziert</w:t>
      </w:r>
      <w:r w:rsidR="00D479A5">
        <w:rPr>
          <w:rFonts w:ascii="Arial" w:hAnsi="Arial" w:cs="Arial"/>
          <w:sz w:val="20"/>
          <w:szCs w:val="20"/>
        </w:rPr>
        <w:t xml:space="preserve"> Grossmann &amp; Berger</w:t>
      </w:r>
      <w:r w:rsidR="008E6626">
        <w:rPr>
          <w:rFonts w:ascii="Arial" w:hAnsi="Arial" w:cs="Arial"/>
          <w:sz w:val="20"/>
          <w:szCs w:val="20"/>
        </w:rPr>
        <w:t xml:space="preserve"> nach wie vor </w:t>
      </w:r>
      <w:r w:rsidR="00D479A5">
        <w:rPr>
          <w:rFonts w:ascii="Arial" w:hAnsi="Arial" w:cs="Arial"/>
          <w:sz w:val="20"/>
          <w:szCs w:val="20"/>
        </w:rPr>
        <w:t xml:space="preserve">mit 150 bzw. 270 €/m²/Monat für </w:t>
      </w:r>
      <w:r w:rsidR="008E6626">
        <w:rPr>
          <w:rFonts w:ascii="Arial" w:hAnsi="Arial" w:cs="Arial"/>
          <w:sz w:val="20"/>
          <w:szCs w:val="20"/>
        </w:rPr>
        <w:t xml:space="preserve">beide Flächensegmente die höchsten erzielbaren </w:t>
      </w:r>
      <w:r w:rsidR="003D36FE">
        <w:rPr>
          <w:rFonts w:ascii="Arial" w:hAnsi="Arial" w:cs="Arial"/>
          <w:sz w:val="20"/>
          <w:szCs w:val="20"/>
        </w:rPr>
        <w:t>Innenstadt-</w:t>
      </w:r>
      <w:r w:rsidR="008E6626">
        <w:rPr>
          <w:rFonts w:ascii="Arial" w:hAnsi="Arial" w:cs="Arial"/>
          <w:sz w:val="20"/>
          <w:szCs w:val="20"/>
        </w:rPr>
        <w:t>Maximalmieten</w:t>
      </w:r>
      <w:r w:rsidR="00D479A5">
        <w:rPr>
          <w:rFonts w:ascii="Arial" w:hAnsi="Arial" w:cs="Arial"/>
          <w:sz w:val="20"/>
          <w:szCs w:val="20"/>
        </w:rPr>
        <w:t>.</w:t>
      </w:r>
      <w:r w:rsidR="008E6626">
        <w:rPr>
          <w:rFonts w:ascii="Arial" w:hAnsi="Arial" w:cs="Arial"/>
          <w:sz w:val="20"/>
          <w:szCs w:val="20"/>
        </w:rPr>
        <w:t xml:space="preserve"> </w:t>
      </w:r>
    </w:p>
    <w:p w14:paraId="16CDD41B" w14:textId="77777777" w:rsidR="008B7F64" w:rsidRDefault="008B7F64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14ED364" w14:textId="68E0E019" w:rsidR="003A005B" w:rsidRPr="003A005B" w:rsidRDefault="006A44D3" w:rsidP="000C770D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Wenig neues gastronomisches Angebot in der City</w:t>
      </w:r>
    </w:p>
    <w:p w14:paraId="78109D62" w14:textId="5E18B5C9" w:rsidR="00511530" w:rsidRDefault="00DB5DAD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6C6DB6">
        <w:rPr>
          <w:rFonts w:ascii="Arial" w:hAnsi="Arial" w:cs="Arial"/>
          <w:sz w:val="20"/>
          <w:szCs w:val="20"/>
        </w:rPr>
        <w:t>rößte</w:t>
      </w:r>
      <w:r>
        <w:rPr>
          <w:rFonts w:ascii="Arial" w:hAnsi="Arial" w:cs="Arial"/>
          <w:sz w:val="20"/>
          <w:szCs w:val="20"/>
        </w:rPr>
        <w:t>s</w:t>
      </w:r>
      <w:r w:rsidR="006C6DB6">
        <w:rPr>
          <w:rFonts w:ascii="Arial" w:hAnsi="Arial" w:cs="Arial"/>
          <w:sz w:val="20"/>
          <w:szCs w:val="20"/>
        </w:rPr>
        <w:t xml:space="preserve"> Opfer der pandemischen Beschränkungen in </w:t>
      </w:r>
      <w:r w:rsidR="00022BD3">
        <w:rPr>
          <w:rFonts w:ascii="Arial" w:hAnsi="Arial" w:cs="Arial"/>
          <w:sz w:val="20"/>
          <w:szCs w:val="20"/>
        </w:rPr>
        <w:t>diesem Marktsegment</w:t>
      </w:r>
      <w:r w:rsidR="006C6DB6">
        <w:rPr>
          <w:rFonts w:ascii="Arial" w:hAnsi="Arial" w:cs="Arial"/>
          <w:sz w:val="20"/>
          <w:szCs w:val="20"/>
        </w:rPr>
        <w:t xml:space="preserve"> war die Gastronomie. Ihr Anteil am Flächenumsatz </w:t>
      </w:r>
      <w:r w:rsidR="003D36FE">
        <w:rPr>
          <w:rFonts w:ascii="Arial" w:hAnsi="Arial" w:cs="Arial"/>
          <w:sz w:val="20"/>
          <w:szCs w:val="20"/>
        </w:rPr>
        <w:t>ging</w:t>
      </w:r>
      <w:r w:rsidR="006C6DB6">
        <w:rPr>
          <w:rFonts w:ascii="Arial" w:hAnsi="Arial" w:cs="Arial"/>
          <w:sz w:val="20"/>
          <w:szCs w:val="20"/>
        </w:rPr>
        <w:t xml:space="preserve"> </w:t>
      </w:r>
      <w:r w:rsidR="00D63188">
        <w:rPr>
          <w:rFonts w:ascii="Arial" w:hAnsi="Arial" w:cs="Arial"/>
          <w:sz w:val="20"/>
          <w:szCs w:val="20"/>
        </w:rPr>
        <w:t xml:space="preserve">zwischen 2019 und </w:t>
      </w:r>
      <w:r w:rsidR="006C6DB6">
        <w:rPr>
          <w:rFonts w:ascii="Arial" w:hAnsi="Arial" w:cs="Arial"/>
          <w:sz w:val="20"/>
          <w:szCs w:val="20"/>
        </w:rPr>
        <w:t>2021 von 15 auf 9 %</w:t>
      </w:r>
      <w:r w:rsidR="003D36FE">
        <w:rPr>
          <w:rFonts w:ascii="Arial" w:hAnsi="Arial" w:cs="Arial"/>
          <w:sz w:val="20"/>
          <w:szCs w:val="20"/>
        </w:rPr>
        <w:t xml:space="preserve"> zurück</w:t>
      </w:r>
      <w:r w:rsidR="006C6DB6">
        <w:rPr>
          <w:rFonts w:ascii="Arial" w:hAnsi="Arial" w:cs="Arial"/>
          <w:sz w:val="20"/>
          <w:szCs w:val="20"/>
        </w:rPr>
        <w:t xml:space="preserve">. Dennoch bewiesen einige Betreiber Mut und </w:t>
      </w:r>
      <w:r>
        <w:rPr>
          <w:rFonts w:ascii="Arial" w:hAnsi="Arial" w:cs="Arial"/>
          <w:sz w:val="20"/>
          <w:szCs w:val="20"/>
        </w:rPr>
        <w:t xml:space="preserve">mieteten und/oder </w:t>
      </w:r>
      <w:r w:rsidR="006C6DB6">
        <w:rPr>
          <w:rFonts w:ascii="Arial" w:hAnsi="Arial" w:cs="Arial"/>
          <w:sz w:val="20"/>
          <w:szCs w:val="20"/>
        </w:rPr>
        <w:t xml:space="preserve">eröffneten, so beispielsweise „Goldbach </w:t>
      </w:r>
      <w:proofErr w:type="spellStart"/>
      <w:r w:rsidR="006C6DB6">
        <w:rPr>
          <w:rFonts w:ascii="Arial" w:hAnsi="Arial" w:cs="Arial"/>
          <w:sz w:val="20"/>
          <w:szCs w:val="20"/>
        </w:rPr>
        <w:t>by</w:t>
      </w:r>
      <w:proofErr w:type="spellEnd"/>
      <w:r w:rsidR="006C6DB6">
        <w:rPr>
          <w:rFonts w:ascii="Arial" w:hAnsi="Arial" w:cs="Arial"/>
          <w:sz w:val="20"/>
          <w:szCs w:val="20"/>
        </w:rPr>
        <w:t xml:space="preserve"> Daniel Wischer“ am Rathausmarkt 18</w:t>
      </w:r>
      <w:r>
        <w:rPr>
          <w:rFonts w:ascii="Arial" w:hAnsi="Arial" w:cs="Arial"/>
          <w:sz w:val="20"/>
          <w:szCs w:val="20"/>
        </w:rPr>
        <w:t xml:space="preserve"> und die amerikanische </w:t>
      </w:r>
      <w:proofErr w:type="spellStart"/>
      <w:r>
        <w:rPr>
          <w:rFonts w:ascii="Arial" w:hAnsi="Arial" w:cs="Arial"/>
          <w:sz w:val="20"/>
          <w:szCs w:val="20"/>
        </w:rPr>
        <w:t>Burgerkette</w:t>
      </w:r>
      <w:proofErr w:type="spellEnd"/>
      <w:r>
        <w:rPr>
          <w:rFonts w:ascii="Arial" w:hAnsi="Arial" w:cs="Arial"/>
          <w:sz w:val="20"/>
          <w:szCs w:val="20"/>
        </w:rPr>
        <w:t xml:space="preserve"> „</w:t>
      </w:r>
      <w:proofErr w:type="spellStart"/>
      <w:r>
        <w:rPr>
          <w:rFonts w:ascii="Arial" w:hAnsi="Arial" w:cs="Arial"/>
          <w:sz w:val="20"/>
          <w:szCs w:val="20"/>
        </w:rPr>
        <w:t>Five</w:t>
      </w:r>
      <w:proofErr w:type="spellEnd"/>
      <w:r>
        <w:rPr>
          <w:rFonts w:ascii="Arial" w:hAnsi="Arial" w:cs="Arial"/>
          <w:sz w:val="20"/>
          <w:szCs w:val="20"/>
        </w:rPr>
        <w:t xml:space="preserve"> Guys“ am Jungfernstieg 41-42</w:t>
      </w:r>
      <w:r w:rsidR="00544FF4">
        <w:rPr>
          <w:rFonts w:ascii="Arial" w:hAnsi="Arial" w:cs="Arial"/>
          <w:sz w:val="20"/>
          <w:szCs w:val="20"/>
        </w:rPr>
        <w:t xml:space="preserve">. Beide Flächen </w:t>
      </w:r>
      <w:r w:rsidR="00544FF4">
        <w:rPr>
          <w:rFonts w:ascii="Arial" w:hAnsi="Arial" w:cs="Arial"/>
          <w:sz w:val="20"/>
          <w:szCs w:val="20"/>
        </w:rPr>
        <w:lastRenderedPageBreak/>
        <w:t>wurden von Grossmann &amp; Berger vermittelt</w:t>
      </w:r>
      <w:r w:rsidR="006C6DB6">
        <w:rPr>
          <w:rFonts w:ascii="Arial" w:hAnsi="Arial" w:cs="Arial"/>
          <w:sz w:val="20"/>
          <w:szCs w:val="20"/>
        </w:rPr>
        <w:t xml:space="preserve">. </w:t>
      </w:r>
      <w:r w:rsidR="002E11B8">
        <w:rPr>
          <w:rFonts w:ascii="Arial" w:hAnsi="Arial" w:cs="Arial"/>
          <w:sz w:val="20"/>
          <w:szCs w:val="20"/>
        </w:rPr>
        <w:t>Mit 40 % war die Branche</w:t>
      </w:r>
      <w:r>
        <w:rPr>
          <w:rFonts w:ascii="Arial" w:hAnsi="Arial" w:cs="Arial"/>
          <w:sz w:val="20"/>
          <w:szCs w:val="20"/>
        </w:rPr>
        <w:t xml:space="preserve"> Mode</w:t>
      </w:r>
      <w:r w:rsidR="002E11B8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Bekleidung der größte Flächenabnehmer in der City. </w:t>
      </w:r>
      <w:r w:rsidR="00EE2415">
        <w:rPr>
          <w:rFonts w:ascii="Arial" w:hAnsi="Arial" w:cs="Arial"/>
          <w:sz w:val="20"/>
          <w:szCs w:val="20"/>
        </w:rPr>
        <w:t>Hierzu trugen die Abschlüsse von „Mö</w:t>
      </w:r>
      <w:r w:rsidR="00EE2415" w:rsidRPr="00531C4B">
        <w:rPr>
          <w:rFonts w:ascii="Arial" w:hAnsi="Arial" w:cs="Arial"/>
          <w:sz w:val="20"/>
          <w:szCs w:val="20"/>
          <w:vertAlign w:val="superscript"/>
        </w:rPr>
        <w:t>3</w:t>
      </w:r>
      <w:r w:rsidR="00EE2415" w:rsidRPr="008776F7">
        <w:rPr>
          <w:rFonts w:ascii="Arial" w:hAnsi="Arial" w:cs="Arial"/>
          <w:sz w:val="20"/>
          <w:szCs w:val="20"/>
        </w:rPr>
        <w:t>“</w:t>
      </w:r>
      <w:r w:rsidR="00EE2415">
        <w:rPr>
          <w:rFonts w:ascii="Arial" w:hAnsi="Arial" w:cs="Arial"/>
          <w:sz w:val="20"/>
          <w:szCs w:val="20"/>
        </w:rPr>
        <w:t xml:space="preserve">, von </w:t>
      </w:r>
      <w:proofErr w:type="spellStart"/>
      <w:r w:rsidR="00EE2415">
        <w:rPr>
          <w:rFonts w:ascii="Arial" w:hAnsi="Arial" w:cs="Arial"/>
          <w:sz w:val="20"/>
          <w:szCs w:val="20"/>
        </w:rPr>
        <w:t>s.Oliver</w:t>
      </w:r>
      <w:proofErr w:type="spellEnd"/>
      <w:r w:rsidR="00EE2415">
        <w:rPr>
          <w:rFonts w:ascii="Arial" w:hAnsi="Arial" w:cs="Arial"/>
          <w:sz w:val="20"/>
          <w:szCs w:val="20"/>
        </w:rPr>
        <w:t xml:space="preserve"> in der Mönckebergstraße 13 rund 880 m², von </w:t>
      </w:r>
      <w:proofErr w:type="spellStart"/>
      <w:r w:rsidR="00EE2415">
        <w:rPr>
          <w:rFonts w:ascii="Arial" w:hAnsi="Arial" w:cs="Arial"/>
          <w:sz w:val="20"/>
          <w:szCs w:val="20"/>
        </w:rPr>
        <w:t>lululemon</w:t>
      </w:r>
      <w:proofErr w:type="spellEnd"/>
      <w:r w:rsidR="00EE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E2415">
        <w:rPr>
          <w:rFonts w:ascii="Arial" w:hAnsi="Arial" w:cs="Arial"/>
          <w:sz w:val="20"/>
          <w:szCs w:val="20"/>
        </w:rPr>
        <w:t>atletica</w:t>
      </w:r>
      <w:proofErr w:type="spellEnd"/>
      <w:r w:rsidR="00EE2415">
        <w:rPr>
          <w:rFonts w:ascii="Arial" w:hAnsi="Arial" w:cs="Arial"/>
          <w:sz w:val="20"/>
          <w:szCs w:val="20"/>
        </w:rPr>
        <w:t xml:space="preserve"> in der Poststraße 14 rund 700 m² und von Elisabetta </w:t>
      </w:r>
      <w:proofErr w:type="spellStart"/>
      <w:r w:rsidR="00EE2415">
        <w:rPr>
          <w:rFonts w:ascii="Arial" w:hAnsi="Arial" w:cs="Arial"/>
          <w:sz w:val="20"/>
          <w:szCs w:val="20"/>
        </w:rPr>
        <w:t>Franchi</w:t>
      </w:r>
      <w:proofErr w:type="spellEnd"/>
      <w:r w:rsidR="00EE2415">
        <w:rPr>
          <w:rFonts w:ascii="Arial" w:hAnsi="Arial" w:cs="Arial"/>
          <w:sz w:val="20"/>
          <w:szCs w:val="20"/>
        </w:rPr>
        <w:t xml:space="preserve"> am Neuen Wall 84 rund 554 m² bei. </w:t>
      </w:r>
      <w:r w:rsidR="00544FF4">
        <w:rPr>
          <w:rFonts w:ascii="Arial" w:hAnsi="Arial" w:cs="Arial"/>
          <w:sz w:val="20"/>
          <w:szCs w:val="20"/>
        </w:rPr>
        <w:t>Letzterer Abschluss lief ebenfalls über G&amp;B.</w:t>
      </w:r>
    </w:p>
    <w:p w14:paraId="3072B4C2" w14:textId="77777777" w:rsidR="008B7F64" w:rsidRDefault="008B7F6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92D5DB1" w14:textId="776A381C" w:rsidR="001302AA" w:rsidRDefault="00AF6EAC" w:rsidP="000C770D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</w:t>
      </w:r>
      <w:r w:rsidRPr="004651E6">
        <w:rPr>
          <w:rFonts w:ascii="Arial" w:hAnsi="Arial" w:cs="Arial"/>
          <w:sz w:val="20"/>
          <w:szCs w:val="20"/>
        </w:rPr>
        <w:t xml:space="preserve">detaillierte </w:t>
      </w:r>
      <w:hyperlink r:id="rId8" w:history="1">
        <w:r w:rsidR="004651E6" w:rsidRPr="004651E6">
          <w:rPr>
            <w:rStyle w:val="Hyperlink"/>
            <w:rFonts w:ascii="Arial" w:hAnsi="Arial" w:cs="Arial"/>
            <w:sz w:val="20"/>
            <w:szCs w:val="20"/>
          </w:rPr>
          <w:t xml:space="preserve">G&amp;B </w:t>
        </w:r>
        <w:r w:rsidRPr="004651E6">
          <w:rPr>
            <w:rStyle w:val="Hyperlink"/>
            <w:rFonts w:ascii="Arial" w:hAnsi="Arial" w:cs="Arial"/>
            <w:sz w:val="20"/>
            <w:szCs w:val="20"/>
          </w:rPr>
          <w:t xml:space="preserve">Marktbericht </w:t>
        </w:r>
        <w:r w:rsidR="004651E6" w:rsidRPr="004651E6">
          <w:rPr>
            <w:rStyle w:val="Hyperlink"/>
            <w:rFonts w:ascii="Arial" w:hAnsi="Arial" w:cs="Arial"/>
            <w:sz w:val="20"/>
            <w:szCs w:val="20"/>
          </w:rPr>
          <w:t>Einzelhandel Hamburg</w:t>
        </w:r>
      </w:hyperlink>
      <w:r w:rsidR="004651E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steht auf unserer Website zum Download bereit.</w:t>
      </w:r>
    </w:p>
    <w:p w14:paraId="225B0E24" w14:textId="77777777" w:rsidR="004D5D64" w:rsidRDefault="004D5D64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5"/>
      </w:tblGrid>
      <w:tr w:rsidR="006266ED" w14:paraId="1C6C76AD" w14:textId="77777777" w:rsidTr="00721661">
        <w:tc>
          <w:tcPr>
            <w:tcW w:w="9636" w:type="dxa"/>
            <w:gridSpan w:val="2"/>
          </w:tcPr>
          <w:p w14:paraId="4A96F61C" w14:textId="6F5DB4C2" w:rsidR="006266ED" w:rsidRDefault="007A0FD9" w:rsidP="00507F8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EC6119" wp14:editId="382FB414">
                  <wp:extent cx="2553005" cy="1762851"/>
                  <wp:effectExtent l="19050" t="19050" r="19050" b="2794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tail_Maximalmieten 2021_PM_Top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0701" cy="183031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6DAF" w14:paraId="48F797ED" w14:textId="77777777" w:rsidTr="00CE4D77">
        <w:tc>
          <w:tcPr>
            <w:tcW w:w="3261" w:type="dxa"/>
          </w:tcPr>
          <w:p w14:paraId="081190E9" w14:textId="59FEC1B0" w:rsidR="00EE4EBC" w:rsidRDefault="00EC7824" w:rsidP="000C7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D596670" wp14:editId="69D3AE9B">
                  <wp:extent cx="1923415" cy="1517014"/>
                  <wp:effectExtent l="0" t="0" r="635" b="762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RUSSELS_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840" cy="15212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</w:tcPr>
          <w:p w14:paraId="3B0ADBA1" w14:textId="1413A4D7" w:rsidR="00EE4EBC" w:rsidRDefault="00EE4EBC" w:rsidP="000C7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7C99E24D" w14:textId="22F823AC" w:rsidR="00EE4EBC" w:rsidRDefault="00C91BAE" w:rsidP="000C7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italienische Damen-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Prêt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noBreakHyphen/>
            </w:r>
            <w:r w:rsidRPr="00573CF0">
              <w:rPr>
                <w:rFonts w:ascii="Arial" w:hAnsi="Arial" w:cs="Arial"/>
                <w:sz w:val="20"/>
                <w:szCs w:val="20"/>
              </w:rPr>
              <w:t>à-</w:t>
            </w:r>
            <w:proofErr w:type="spellStart"/>
            <w:r w:rsidRPr="00573CF0">
              <w:rPr>
                <w:rFonts w:ascii="Arial" w:hAnsi="Arial" w:cs="Arial"/>
                <w:sz w:val="20"/>
                <w:szCs w:val="20"/>
              </w:rPr>
              <w:t>porter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-Marke Elisabetta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mietete über Franchisenehmer Jan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Kucht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Ende 2021 den </w:t>
            </w:r>
            <w:r w:rsidR="007A0FD9">
              <w:rPr>
                <w:rFonts w:ascii="Arial" w:hAnsi="Arial" w:cs="Arial"/>
                <w:sz w:val="20"/>
                <w:szCs w:val="20"/>
              </w:rPr>
              <w:t xml:space="preserve">554 m² großen </w:t>
            </w:r>
            <w:r>
              <w:rPr>
                <w:rFonts w:ascii="Arial" w:hAnsi="Arial" w:cs="Arial"/>
                <w:sz w:val="20"/>
                <w:szCs w:val="20"/>
              </w:rPr>
              <w:t>Laden am Neuen Wall 84 über Grossmann &amp; Berger</w:t>
            </w:r>
            <w:r w:rsidR="00CC6DA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Die Eröffnung ist für Juli geplant.</w:t>
            </w:r>
          </w:p>
          <w:p w14:paraId="5AB74D65" w14:textId="77777777" w:rsidR="00EE4EBC" w:rsidRDefault="00EE4EBC" w:rsidP="000C770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F0E7C1" w14:textId="65E059E9" w:rsidR="00EE4EBC" w:rsidRDefault="00EE4EBC" w:rsidP="003D36F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Bildquelle: </w:t>
            </w:r>
            <w:r w:rsidR="00C91BAE">
              <w:rPr>
                <w:rFonts w:ascii="Arial" w:hAnsi="Arial" w:cs="Arial"/>
                <w:sz w:val="20"/>
                <w:szCs w:val="20"/>
              </w:rPr>
              <w:t xml:space="preserve">Elisabetta </w:t>
            </w:r>
            <w:proofErr w:type="spellStart"/>
            <w:r w:rsidR="00C91BAE"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  <w:r w:rsidR="00C91BAE">
              <w:rPr>
                <w:rFonts w:ascii="Arial" w:hAnsi="Arial" w:cs="Arial"/>
                <w:sz w:val="20"/>
                <w:szCs w:val="20"/>
              </w:rPr>
              <w:t xml:space="preserve"> (Store in Brüssel)</w:t>
            </w:r>
          </w:p>
        </w:tc>
        <w:bookmarkStart w:id="0" w:name="_GoBack"/>
        <w:bookmarkEnd w:id="0"/>
      </w:tr>
      <w:tr w:rsidR="00507F83" w14:paraId="4CF5A271" w14:textId="77777777" w:rsidTr="00CE4D77">
        <w:tc>
          <w:tcPr>
            <w:tcW w:w="3261" w:type="dxa"/>
          </w:tcPr>
          <w:p w14:paraId="77F7386D" w14:textId="6CEA739E" w:rsidR="00507F83" w:rsidRDefault="00507F83" w:rsidP="000C770D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9627400" wp14:editId="6208C73D">
                  <wp:extent cx="1923897" cy="1282798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ldbach by Daniel Wischer_Rathausmarkt 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371" cy="130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5" w:type="dxa"/>
          </w:tcPr>
          <w:p w14:paraId="7D6239C5" w14:textId="77777777" w:rsidR="00507F83" w:rsidRDefault="00507F83" w:rsidP="00507F8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3C4F3F7D" w14:textId="3EC93DF7" w:rsidR="00507F83" w:rsidRDefault="00CC6DAF" w:rsidP="00507F8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Restaurant </w:t>
            </w:r>
            <w:r w:rsidR="006D3C72">
              <w:rPr>
                <w:rFonts w:ascii="Arial" w:hAnsi="Arial" w:cs="Arial"/>
                <w:sz w:val="20"/>
                <w:szCs w:val="20"/>
              </w:rPr>
              <w:t>„</w:t>
            </w:r>
            <w:r>
              <w:rPr>
                <w:rFonts w:ascii="Arial" w:hAnsi="Arial" w:cs="Arial"/>
                <w:sz w:val="20"/>
                <w:szCs w:val="20"/>
              </w:rPr>
              <w:t xml:space="preserve">Goldbach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Daniel Wischer</w:t>
            </w:r>
            <w:r w:rsidR="006D3C72">
              <w:rPr>
                <w:rFonts w:ascii="Arial" w:hAnsi="Arial" w:cs="Arial"/>
                <w:sz w:val="20"/>
                <w:szCs w:val="20"/>
              </w:rPr>
              <w:t>“</w:t>
            </w:r>
            <w:r>
              <w:rPr>
                <w:rFonts w:ascii="Arial" w:hAnsi="Arial" w:cs="Arial"/>
                <w:sz w:val="20"/>
                <w:szCs w:val="20"/>
              </w:rPr>
              <w:t xml:space="preserve"> am Rathausmarkt 18 eröffnete im Dezember 2021</w:t>
            </w:r>
            <w:r w:rsidR="007A0FD9">
              <w:rPr>
                <w:rFonts w:ascii="Arial" w:hAnsi="Arial" w:cs="Arial"/>
                <w:sz w:val="20"/>
                <w:szCs w:val="20"/>
              </w:rPr>
              <w:t xml:space="preserve"> auf rund 560 m²</w:t>
            </w:r>
            <w:r>
              <w:rPr>
                <w:rFonts w:ascii="Arial" w:hAnsi="Arial" w:cs="Arial"/>
                <w:sz w:val="20"/>
                <w:szCs w:val="20"/>
              </w:rPr>
              <w:t>. Den ehemaligen Haspa-Standort vermittelte Grossmann &amp; Berger.</w:t>
            </w:r>
          </w:p>
          <w:p w14:paraId="4743813E" w14:textId="77777777" w:rsidR="00507F83" w:rsidRDefault="00507F83" w:rsidP="00507F8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23CAE3F" w14:textId="51886691" w:rsidR="00507F83" w:rsidRDefault="00507F83" w:rsidP="00507F83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Bildquelle: </w:t>
            </w:r>
            <w:r w:rsidR="00CC6DAF">
              <w:rPr>
                <w:rFonts w:ascii="Arial" w:hAnsi="Arial" w:cs="Arial"/>
                <w:sz w:val="20"/>
                <w:szCs w:val="20"/>
              </w:rPr>
              <w:t xml:space="preserve">Christine </w:t>
            </w:r>
            <w:proofErr w:type="spellStart"/>
            <w:r w:rsidR="00CC6DAF">
              <w:rPr>
                <w:rFonts w:ascii="Arial" w:hAnsi="Arial" w:cs="Arial"/>
                <w:sz w:val="20"/>
                <w:szCs w:val="20"/>
              </w:rPr>
              <w:t>Prexel</w:t>
            </w:r>
            <w:proofErr w:type="spellEnd"/>
            <w:r w:rsidR="00CC6DAF"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</w:tbl>
    <w:p w14:paraId="44BA8EA0" w14:textId="77777777" w:rsidR="001302AA" w:rsidRDefault="001302AA" w:rsidP="000C770D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905FBA0" w14:textId="77777777" w:rsidR="00EE4EBC" w:rsidRPr="0090748B" w:rsidRDefault="00EE4EBC" w:rsidP="00EE4EB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Ü</w:t>
      </w:r>
      <w:r w:rsidRPr="0090748B">
        <w:rPr>
          <w:rFonts w:ascii="Arial" w:hAnsi="Arial" w:cs="Arial"/>
          <w:b/>
          <w:sz w:val="16"/>
          <w:szCs w:val="16"/>
        </w:rPr>
        <w:t>ber Grossmann &amp; Berger</w:t>
      </w:r>
    </w:p>
    <w:p w14:paraId="259317CC" w14:textId="77777777" w:rsidR="00EE4EBC" w:rsidRPr="004A6CA8" w:rsidRDefault="00EE4EBC" w:rsidP="00EE4EBC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4A6CA8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2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 Neben dem Hauptsitz in Hamburg unterhält das Unternehmen 20 Standorte. Hierüber ist Grossmann &amp; Berger flächendeckend im norddeutschen Markt präsent. Über die seit Mai 2021 zum Unternehmen gehörenden Gesellschaften </w:t>
      </w:r>
      <w:hyperlink r:id="rId13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4" w:history="1">
        <w:r w:rsidRPr="004A6CA8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4A6CA8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 Rund 250 Mitarbeiter decken mit ihrer umfassenden Immobilienkompetenz das gesamte Branchen-Dienstleistungsspektrum ab. Bei ihrer Tätigkeit können sie auf mehr als 85 Jahre Unternehmenstradition zurückgreifen. </w:t>
      </w:r>
      <w:r w:rsidRPr="004A6CA8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5" w:history="1">
        <w:r w:rsidRPr="004A6CA8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4A6CA8">
        <w:rPr>
          <w:rFonts w:ascii="Arial" w:hAnsi="Arial" w:cs="Arial"/>
          <w:sz w:val="16"/>
          <w:szCs w:val="16"/>
        </w:rPr>
        <w:t xml:space="preserve"> (GPP).</w:t>
      </w:r>
    </w:p>
    <w:p w14:paraId="1704AB74" w14:textId="77777777" w:rsidR="00EE4EBC" w:rsidRPr="004A6CA8" w:rsidRDefault="00EE4EBC" w:rsidP="00EE4EB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4A6CA8">
        <w:rPr>
          <w:rFonts w:ascii="Arial" w:hAnsi="Arial" w:cs="Arial"/>
          <w:sz w:val="16"/>
          <w:szCs w:val="16"/>
        </w:rPr>
        <w:t xml:space="preserve"> </w:t>
      </w:r>
    </w:p>
    <w:p w14:paraId="2932396A" w14:textId="77777777" w:rsidR="00EE4EBC" w:rsidRPr="00583E25" w:rsidRDefault="00EE4EBC" w:rsidP="00EE4EBC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CB41144" w14:textId="1C1D7040" w:rsidR="00503D8C" w:rsidRPr="00503D8C" w:rsidRDefault="00EE4EBC" w:rsidP="00AE5C98">
      <w:pPr>
        <w:spacing w:after="0" w:line="360" w:lineRule="auto"/>
        <w:rPr>
          <w:rFonts w:ascii="Arial" w:hAnsi="Arial" w:cs="Arial"/>
          <w:b/>
          <w:color w:val="000000" w:themeColor="text1"/>
          <w:spacing w:val="20"/>
          <w:sz w:val="20"/>
          <w:szCs w:val="20"/>
        </w:rPr>
      </w:pPr>
      <w:r w:rsidRPr="003C6AB4">
        <w:rPr>
          <w:rFonts w:ascii="Arial" w:hAnsi="Arial" w:cs="Arial"/>
          <w:sz w:val="16"/>
          <w:szCs w:val="16"/>
        </w:rPr>
        <w:t xml:space="preserve">Die </w:t>
      </w:r>
      <w:hyperlink r:id="rId16" w:history="1">
        <w:r w:rsidRPr="003C6AB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3C6AB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7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3C6AB4">
        <w:rPr>
          <w:rFonts w:ascii="Arial" w:hAnsi="Arial" w:cs="Arial"/>
          <w:sz w:val="16"/>
          <w:szCs w:val="16"/>
        </w:rPr>
        <w:t xml:space="preserve"> sowie die dazugehörigen </w:t>
      </w:r>
      <w:hyperlink r:id="rId18" w:history="1">
        <w:r w:rsidRPr="003C6AB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3C6AB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9" w:history="1">
        <w:r w:rsidRPr="003C6AB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Presseverteiler“.</w:t>
      </w:r>
    </w:p>
    <w:sectPr w:rsidR="00503D8C" w:rsidRPr="00503D8C" w:rsidSect="00D83CB7">
      <w:headerReference w:type="default" r:id="rId20"/>
      <w:footerReference w:type="default" r:id="rId21"/>
      <w:headerReference w:type="first" r:id="rId22"/>
      <w:footerReference w:type="first" r:id="rId23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3217D" w14:textId="77777777" w:rsidR="006261DF" w:rsidRDefault="006261DF">
      <w:r>
        <w:separator/>
      </w:r>
    </w:p>
  </w:endnote>
  <w:endnote w:type="continuationSeparator" w:id="0">
    <w:p w14:paraId="1730ABFF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33EFC" w14:textId="0EEDC697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EE4EBC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EE4EBC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4FA43E82" w14:textId="36E6D927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44FF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544FF4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DF2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3AF3F1D1" wp14:editId="3B90A8BB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0EB8D" w14:textId="77777777" w:rsidR="006261DF" w:rsidRDefault="006261DF">
      <w:r>
        <w:separator/>
      </w:r>
    </w:p>
  </w:footnote>
  <w:footnote w:type="continuationSeparator" w:id="0">
    <w:p w14:paraId="02385007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463E2" w14:textId="77777777" w:rsidR="006138CB" w:rsidRPr="009E3ADA" w:rsidRDefault="0056297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3E9750" wp14:editId="0D693AC0">
              <wp:simplePos x="0" y="0"/>
              <wp:positionH relativeFrom="column">
                <wp:posOffset>-94615</wp:posOffset>
              </wp:positionH>
              <wp:positionV relativeFrom="paragraph">
                <wp:posOffset>42240</wp:posOffset>
              </wp:positionV>
              <wp:extent cx="4778734" cy="30480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A5E48D" w14:textId="0A3BA947" w:rsidR="00562976" w:rsidRPr="001E3456" w:rsidRDefault="00562976" w:rsidP="0056297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 2-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E975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45pt;margin-top:3.35pt;width:376.3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" filled="f" stroked="f">
              <v:textbox>
                <w:txbxContent>
                  <w:p w14:paraId="37A5E48D" w14:textId="0A3BA947" w:rsidR="00562976" w:rsidRPr="001E3456" w:rsidRDefault="00562976" w:rsidP="0056297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 2-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CF8AF04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08E5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D47A9" wp14:editId="3C62F23D">
              <wp:simplePos x="0" y="0"/>
              <wp:positionH relativeFrom="column">
                <wp:posOffset>-87630</wp:posOffset>
              </wp:positionH>
              <wp:positionV relativeFrom="paragraph">
                <wp:posOffset>20955</wp:posOffset>
              </wp:positionV>
              <wp:extent cx="4778734" cy="3048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78734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1AEC09" w14:textId="0DB78539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Britt 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2-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993</w:t>
                          </w:r>
                          <w:r w:rsidR="004C0CA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EE4EB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b.finke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D47A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9pt;margin-top:1.65pt;width:376.3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" filled="f" stroked="f">
              <v:textbox>
                <w:txbxContent>
                  <w:p w14:paraId="481AEC09" w14:textId="0DB78539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Britt 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2-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993</w:t>
                    </w:r>
                    <w:r w:rsidR="004C0CA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EE4EBC">
                      <w:rPr>
                        <w:rFonts w:ascii="Arial" w:hAnsi="Arial" w:cs="Arial"/>
                        <w:sz w:val="16"/>
                        <w:szCs w:val="16"/>
                      </w:rPr>
                      <w:t>b.finke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06D017D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16659"/>
    <w:rsid w:val="00022BD3"/>
    <w:rsid w:val="00022F16"/>
    <w:rsid w:val="00023D78"/>
    <w:rsid w:val="0003075C"/>
    <w:rsid w:val="0004525E"/>
    <w:rsid w:val="00060743"/>
    <w:rsid w:val="0006295D"/>
    <w:rsid w:val="00066796"/>
    <w:rsid w:val="000766D7"/>
    <w:rsid w:val="00084334"/>
    <w:rsid w:val="000917A8"/>
    <w:rsid w:val="000B3315"/>
    <w:rsid w:val="000C4AA5"/>
    <w:rsid w:val="000C770D"/>
    <w:rsid w:val="000E03F3"/>
    <w:rsid w:val="000F4786"/>
    <w:rsid w:val="000F7183"/>
    <w:rsid w:val="001029C4"/>
    <w:rsid w:val="001068F3"/>
    <w:rsid w:val="00106CB0"/>
    <w:rsid w:val="0011486D"/>
    <w:rsid w:val="00121E33"/>
    <w:rsid w:val="00126550"/>
    <w:rsid w:val="00126A00"/>
    <w:rsid w:val="001302AA"/>
    <w:rsid w:val="001324D6"/>
    <w:rsid w:val="00135BD2"/>
    <w:rsid w:val="00151856"/>
    <w:rsid w:val="00154825"/>
    <w:rsid w:val="0017516B"/>
    <w:rsid w:val="00176F1D"/>
    <w:rsid w:val="001A2ABE"/>
    <w:rsid w:val="001A360C"/>
    <w:rsid w:val="001B08ED"/>
    <w:rsid w:val="001B0906"/>
    <w:rsid w:val="001C40AA"/>
    <w:rsid w:val="001C4F7B"/>
    <w:rsid w:val="001D14DA"/>
    <w:rsid w:val="001E6995"/>
    <w:rsid w:val="001F1513"/>
    <w:rsid w:val="00205769"/>
    <w:rsid w:val="00212FEC"/>
    <w:rsid w:val="002131BB"/>
    <w:rsid w:val="0022086D"/>
    <w:rsid w:val="002241F7"/>
    <w:rsid w:val="00227E31"/>
    <w:rsid w:val="00230F81"/>
    <w:rsid w:val="00254C6F"/>
    <w:rsid w:val="00264D62"/>
    <w:rsid w:val="0027266B"/>
    <w:rsid w:val="00281E80"/>
    <w:rsid w:val="002834B0"/>
    <w:rsid w:val="00283671"/>
    <w:rsid w:val="0028409A"/>
    <w:rsid w:val="00284E27"/>
    <w:rsid w:val="00287C99"/>
    <w:rsid w:val="002A1973"/>
    <w:rsid w:val="002A76D5"/>
    <w:rsid w:val="002C2392"/>
    <w:rsid w:val="002D1C5C"/>
    <w:rsid w:val="002D1E20"/>
    <w:rsid w:val="002E11B8"/>
    <w:rsid w:val="002E5FC4"/>
    <w:rsid w:val="002E6860"/>
    <w:rsid w:val="002F0411"/>
    <w:rsid w:val="002F6407"/>
    <w:rsid w:val="00315F31"/>
    <w:rsid w:val="00325E2A"/>
    <w:rsid w:val="0034786C"/>
    <w:rsid w:val="003517C9"/>
    <w:rsid w:val="00370000"/>
    <w:rsid w:val="00373507"/>
    <w:rsid w:val="0038230E"/>
    <w:rsid w:val="00382529"/>
    <w:rsid w:val="00395382"/>
    <w:rsid w:val="003A005B"/>
    <w:rsid w:val="003A5494"/>
    <w:rsid w:val="003B073E"/>
    <w:rsid w:val="003B4CCF"/>
    <w:rsid w:val="003C6AB4"/>
    <w:rsid w:val="003D251A"/>
    <w:rsid w:val="003D36FE"/>
    <w:rsid w:val="003E099F"/>
    <w:rsid w:val="0040086D"/>
    <w:rsid w:val="004017D8"/>
    <w:rsid w:val="00411E03"/>
    <w:rsid w:val="004123B1"/>
    <w:rsid w:val="00412AB1"/>
    <w:rsid w:val="00414F42"/>
    <w:rsid w:val="004303A1"/>
    <w:rsid w:val="0043229D"/>
    <w:rsid w:val="00440DC9"/>
    <w:rsid w:val="004505C7"/>
    <w:rsid w:val="004506D2"/>
    <w:rsid w:val="00456F40"/>
    <w:rsid w:val="004609BD"/>
    <w:rsid w:val="004651E6"/>
    <w:rsid w:val="004661EE"/>
    <w:rsid w:val="00466741"/>
    <w:rsid w:val="00470601"/>
    <w:rsid w:val="00475DE6"/>
    <w:rsid w:val="00480CAB"/>
    <w:rsid w:val="00496699"/>
    <w:rsid w:val="0049744A"/>
    <w:rsid w:val="004A0AF7"/>
    <w:rsid w:val="004A2BEA"/>
    <w:rsid w:val="004A3C64"/>
    <w:rsid w:val="004A5AEA"/>
    <w:rsid w:val="004B00B8"/>
    <w:rsid w:val="004B2FDA"/>
    <w:rsid w:val="004B480A"/>
    <w:rsid w:val="004B709F"/>
    <w:rsid w:val="004C0CA2"/>
    <w:rsid w:val="004D5D64"/>
    <w:rsid w:val="004E2331"/>
    <w:rsid w:val="004E339B"/>
    <w:rsid w:val="004E4562"/>
    <w:rsid w:val="004F077F"/>
    <w:rsid w:val="004F612F"/>
    <w:rsid w:val="004F6F4D"/>
    <w:rsid w:val="00500779"/>
    <w:rsid w:val="0050117A"/>
    <w:rsid w:val="005023DD"/>
    <w:rsid w:val="00503D8C"/>
    <w:rsid w:val="00507F83"/>
    <w:rsid w:val="0051014E"/>
    <w:rsid w:val="00511530"/>
    <w:rsid w:val="00522B84"/>
    <w:rsid w:val="005265A4"/>
    <w:rsid w:val="00531A7F"/>
    <w:rsid w:val="00531C4B"/>
    <w:rsid w:val="005360E8"/>
    <w:rsid w:val="0053753C"/>
    <w:rsid w:val="005428C5"/>
    <w:rsid w:val="00543C55"/>
    <w:rsid w:val="00544FF4"/>
    <w:rsid w:val="00546E94"/>
    <w:rsid w:val="005554C7"/>
    <w:rsid w:val="00557597"/>
    <w:rsid w:val="00562976"/>
    <w:rsid w:val="00572FDB"/>
    <w:rsid w:val="00582B99"/>
    <w:rsid w:val="00590903"/>
    <w:rsid w:val="00596BBF"/>
    <w:rsid w:val="005B0FC9"/>
    <w:rsid w:val="005B66D3"/>
    <w:rsid w:val="005C4556"/>
    <w:rsid w:val="005C5302"/>
    <w:rsid w:val="005E362E"/>
    <w:rsid w:val="0061109D"/>
    <w:rsid w:val="00612AA0"/>
    <w:rsid w:val="0061304A"/>
    <w:rsid w:val="006138CB"/>
    <w:rsid w:val="006224C4"/>
    <w:rsid w:val="006225EA"/>
    <w:rsid w:val="006261DF"/>
    <w:rsid w:val="006266ED"/>
    <w:rsid w:val="0064036C"/>
    <w:rsid w:val="00642074"/>
    <w:rsid w:val="00655398"/>
    <w:rsid w:val="006633DD"/>
    <w:rsid w:val="006852C5"/>
    <w:rsid w:val="00695E58"/>
    <w:rsid w:val="006A1329"/>
    <w:rsid w:val="006A44D3"/>
    <w:rsid w:val="006A66F9"/>
    <w:rsid w:val="006B49F7"/>
    <w:rsid w:val="006C6DB6"/>
    <w:rsid w:val="006D3799"/>
    <w:rsid w:val="006D3C72"/>
    <w:rsid w:val="006D3E25"/>
    <w:rsid w:val="006D4458"/>
    <w:rsid w:val="006F1932"/>
    <w:rsid w:val="00720454"/>
    <w:rsid w:val="00720DFF"/>
    <w:rsid w:val="0072331F"/>
    <w:rsid w:val="00743CB4"/>
    <w:rsid w:val="00762CC5"/>
    <w:rsid w:val="007906B4"/>
    <w:rsid w:val="00796808"/>
    <w:rsid w:val="007A0FD9"/>
    <w:rsid w:val="007B1B47"/>
    <w:rsid w:val="007D7187"/>
    <w:rsid w:val="007E07FB"/>
    <w:rsid w:val="007E759D"/>
    <w:rsid w:val="00804E24"/>
    <w:rsid w:val="00812471"/>
    <w:rsid w:val="008261A5"/>
    <w:rsid w:val="008266DF"/>
    <w:rsid w:val="008334FF"/>
    <w:rsid w:val="0083382E"/>
    <w:rsid w:val="00855325"/>
    <w:rsid w:val="00862E34"/>
    <w:rsid w:val="00865915"/>
    <w:rsid w:val="00866384"/>
    <w:rsid w:val="00867C7A"/>
    <w:rsid w:val="00871832"/>
    <w:rsid w:val="008776F7"/>
    <w:rsid w:val="00886CCE"/>
    <w:rsid w:val="00892DEA"/>
    <w:rsid w:val="00896B33"/>
    <w:rsid w:val="008A62FB"/>
    <w:rsid w:val="008A77B7"/>
    <w:rsid w:val="008B0F67"/>
    <w:rsid w:val="008B2D39"/>
    <w:rsid w:val="008B7F64"/>
    <w:rsid w:val="008C608D"/>
    <w:rsid w:val="008D0C14"/>
    <w:rsid w:val="008D5764"/>
    <w:rsid w:val="008E1805"/>
    <w:rsid w:val="008E461D"/>
    <w:rsid w:val="008E4A16"/>
    <w:rsid w:val="008E4BB1"/>
    <w:rsid w:val="008E6626"/>
    <w:rsid w:val="008E7E19"/>
    <w:rsid w:val="008F08E5"/>
    <w:rsid w:val="008F0EA4"/>
    <w:rsid w:val="008F5213"/>
    <w:rsid w:val="0090748B"/>
    <w:rsid w:val="0091238A"/>
    <w:rsid w:val="0091655F"/>
    <w:rsid w:val="00920C9C"/>
    <w:rsid w:val="00922754"/>
    <w:rsid w:val="00925781"/>
    <w:rsid w:val="009258D0"/>
    <w:rsid w:val="00925A44"/>
    <w:rsid w:val="0093288C"/>
    <w:rsid w:val="00935AB3"/>
    <w:rsid w:val="00945F08"/>
    <w:rsid w:val="00964709"/>
    <w:rsid w:val="00965EF2"/>
    <w:rsid w:val="009734CE"/>
    <w:rsid w:val="00980DD7"/>
    <w:rsid w:val="00981A8F"/>
    <w:rsid w:val="00996E1A"/>
    <w:rsid w:val="009A6CCE"/>
    <w:rsid w:val="009A6E50"/>
    <w:rsid w:val="009B6A8D"/>
    <w:rsid w:val="009D24DA"/>
    <w:rsid w:val="009D5D75"/>
    <w:rsid w:val="009D76D5"/>
    <w:rsid w:val="009F32A2"/>
    <w:rsid w:val="009F54CE"/>
    <w:rsid w:val="00A06264"/>
    <w:rsid w:val="00A078F5"/>
    <w:rsid w:val="00A1639A"/>
    <w:rsid w:val="00A215C9"/>
    <w:rsid w:val="00A357C3"/>
    <w:rsid w:val="00A5364B"/>
    <w:rsid w:val="00A57D84"/>
    <w:rsid w:val="00A615E0"/>
    <w:rsid w:val="00A65E2B"/>
    <w:rsid w:val="00A74AA0"/>
    <w:rsid w:val="00A7546D"/>
    <w:rsid w:val="00A77100"/>
    <w:rsid w:val="00AA00B3"/>
    <w:rsid w:val="00AA4D97"/>
    <w:rsid w:val="00AA66C9"/>
    <w:rsid w:val="00AC29EC"/>
    <w:rsid w:val="00AC7B7C"/>
    <w:rsid w:val="00AD17B7"/>
    <w:rsid w:val="00AD2232"/>
    <w:rsid w:val="00AD50B3"/>
    <w:rsid w:val="00AE5C98"/>
    <w:rsid w:val="00AE66F8"/>
    <w:rsid w:val="00AF6EAC"/>
    <w:rsid w:val="00B077D5"/>
    <w:rsid w:val="00B200E4"/>
    <w:rsid w:val="00B35B6D"/>
    <w:rsid w:val="00B35DC6"/>
    <w:rsid w:val="00B43795"/>
    <w:rsid w:val="00B51699"/>
    <w:rsid w:val="00B53FAF"/>
    <w:rsid w:val="00B61906"/>
    <w:rsid w:val="00B63153"/>
    <w:rsid w:val="00B64F3A"/>
    <w:rsid w:val="00B6527D"/>
    <w:rsid w:val="00B65F2D"/>
    <w:rsid w:val="00B73B3A"/>
    <w:rsid w:val="00B74507"/>
    <w:rsid w:val="00B75718"/>
    <w:rsid w:val="00B75E7E"/>
    <w:rsid w:val="00B86310"/>
    <w:rsid w:val="00B93817"/>
    <w:rsid w:val="00BA0B96"/>
    <w:rsid w:val="00BB15DA"/>
    <w:rsid w:val="00BB340D"/>
    <w:rsid w:val="00BC2A3A"/>
    <w:rsid w:val="00BC64EC"/>
    <w:rsid w:val="00BD073D"/>
    <w:rsid w:val="00BD4A31"/>
    <w:rsid w:val="00BD5E7A"/>
    <w:rsid w:val="00BD7CAE"/>
    <w:rsid w:val="00BE1131"/>
    <w:rsid w:val="00BF3AFD"/>
    <w:rsid w:val="00C00EE1"/>
    <w:rsid w:val="00C11005"/>
    <w:rsid w:val="00C14737"/>
    <w:rsid w:val="00C1606C"/>
    <w:rsid w:val="00C161A0"/>
    <w:rsid w:val="00C23180"/>
    <w:rsid w:val="00C311D7"/>
    <w:rsid w:val="00C41492"/>
    <w:rsid w:val="00C63FF6"/>
    <w:rsid w:val="00C702B5"/>
    <w:rsid w:val="00C70389"/>
    <w:rsid w:val="00C81C79"/>
    <w:rsid w:val="00C904B6"/>
    <w:rsid w:val="00C91BAE"/>
    <w:rsid w:val="00C96DF4"/>
    <w:rsid w:val="00CB32D8"/>
    <w:rsid w:val="00CC1337"/>
    <w:rsid w:val="00CC48DF"/>
    <w:rsid w:val="00CC6DAF"/>
    <w:rsid w:val="00CD70E7"/>
    <w:rsid w:val="00CD7363"/>
    <w:rsid w:val="00CE0C1F"/>
    <w:rsid w:val="00CE2B6D"/>
    <w:rsid w:val="00CE455F"/>
    <w:rsid w:val="00CE4D77"/>
    <w:rsid w:val="00CE7720"/>
    <w:rsid w:val="00CF0BF9"/>
    <w:rsid w:val="00CF4854"/>
    <w:rsid w:val="00CF5957"/>
    <w:rsid w:val="00CF665D"/>
    <w:rsid w:val="00D040D5"/>
    <w:rsid w:val="00D04BA2"/>
    <w:rsid w:val="00D077B0"/>
    <w:rsid w:val="00D2231A"/>
    <w:rsid w:val="00D22D42"/>
    <w:rsid w:val="00D24F5F"/>
    <w:rsid w:val="00D36D8D"/>
    <w:rsid w:val="00D45711"/>
    <w:rsid w:val="00D479A5"/>
    <w:rsid w:val="00D500FC"/>
    <w:rsid w:val="00D51597"/>
    <w:rsid w:val="00D517F1"/>
    <w:rsid w:val="00D5326E"/>
    <w:rsid w:val="00D55867"/>
    <w:rsid w:val="00D63188"/>
    <w:rsid w:val="00D634A3"/>
    <w:rsid w:val="00D72339"/>
    <w:rsid w:val="00D73E47"/>
    <w:rsid w:val="00D74ABB"/>
    <w:rsid w:val="00D83CB7"/>
    <w:rsid w:val="00D97FA8"/>
    <w:rsid w:val="00DB5DAD"/>
    <w:rsid w:val="00DC7B25"/>
    <w:rsid w:val="00DD6B73"/>
    <w:rsid w:val="00DE596E"/>
    <w:rsid w:val="00E0209F"/>
    <w:rsid w:val="00E112C9"/>
    <w:rsid w:val="00E158F7"/>
    <w:rsid w:val="00E2087E"/>
    <w:rsid w:val="00E36818"/>
    <w:rsid w:val="00E47B97"/>
    <w:rsid w:val="00E5203C"/>
    <w:rsid w:val="00E57129"/>
    <w:rsid w:val="00E634CC"/>
    <w:rsid w:val="00E72C33"/>
    <w:rsid w:val="00E72F93"/>
    <w:rsid w:val="00E76981"/>
    <w:rsid w:val="00E82F0E"/>
    <w:rsid w:val="00E92CFC"/>
    <w:rsid w:val="00E96FAC"/>
    <w:rsid w:val="00EA129F"/>
    <w:rsid w:val="00EA6F28"/>
    <w:rsid w:val="00EC7824"/>
    <w:rsid w:val="00ED0582"/>
    <w:rsid w:val="00ED0D06"/>
    <w:rsid w:val="00EE2415"/>
    <w:rsid w:val="00EE31F6"/>
    <w:rsid w:val="00EE36DC"/>
    <w:rsid w:val="00EE4EBC"/>
    <w:rsid w:val="00EF6B2D"/>
    <w:rsid w:val="00EF7208"/>
    <w:rsid w:val="00F01554"/>
    <w:rsid w:val="00F044EE"/>
    <w:rsid w:val="00F05FA5"/>
    <w:rsid w:val="00F3320B"/>
    <w:rsid w:val="00F40E92"/>
    <w:rsid w:val="00F41947"/>
    <w:rsid w:val="00F42D1B"/>
    <w:rsid w:val="00F435AA"/>
    <w:rsid w:val="00F76C6A"/>
    <w:rsid w:val="00F83BF1"/>
    <w:rsid w:val="00F90CB9"/>
    <w:rsid w:val="00F91818"/>
    <w:rsid w:val="00F97373"/>
    <w:rsid w:val="00FA1BFC"/>
    <w:rsid w:val="00FA30E2"/>
    <w:rsid w:val="00FA35DB"/>
    <w:rsid w:val="00FA66A3"/>
    <w:rsid w:val="00FA6854"/>
    <w:rsid w:val="00FB02A1"/>
    <w:rsid w:val="00FB064F"/>
    <w:rsid w:val="00FB144F"/>
    <w:rsid w:val="00FB159A"/>
    <w:rsid w:val="00FB408F"/>
    <w:rsid w:val="00FB4D77"/>
    <w:rsid w:val="00FC3751"/>
    <w:rsid w:val="00FC497D"/>
    <w:rsid w:val="00FD076B"/>
    <w:rsid w:val="00FD07DE"/>
    <w:rsid w:val="00FF3782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61"/>
    <o:shapelayout v:ext="edit">
      <o:idmap v:ext="edit" data="1"/>
    </o:shapelayout>
  </w:shapeDefaults>
  <w:decimalSymbol w:val=","/>
  <w:listSeparator w:val=";"/>
  <w14:docId w14:val="7351E458"/>
  <w15:docId w15:val="{42C1A1D1-9BB6-4C62-A4E2-63B31A0BE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styleId="Tabellenraster">
    <w:name w:val="Table Grid"/>
    <w:basedOn w:val="NormaleTabelle"/>
    <w:locked/>
    <w:rsid w:val="007B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Absatz-Standardschriftart"/>
    <w:rsid w:val="00F01554"/>
  </w:style>
  <w:style w:type="character" w:styleId="Kommentarzeichen">
    <w:name w:val="annotation reference"/>
    <w:basedOn w:val="Absatz-Standardschriftart"/>
    <w:uiPriority w:val="99"/>
    <w:semiHidden/>
    <w:unhideWhenUsed/>
    <w:rsid w:val="00BD7C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CA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CA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C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CA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ossmann-berger.de/marktbericht/gewerbe/einzelhandel/" TargetMode="External"/><Relationship Id="rId13" Type="http://schemas.openxmlformats.org/officeDocument/2006/relationships/hyperlink" Target="https://www.eug-immobilien.de/gewerbe-immobilien" TargetMode="External"/><Relationship Id="rId18" Type="http://schemas.openxmlformats.org/officeDocument/2006/relationships/hyperlink" Target="file:///\\file01\Marketing\Presse\5_PresseMITTEILUNGEN\Marktbericht%20B&#252;ro\2020\2020%20Q2\20180517_Dokumentation%20der%20Verarbeitungstaetigkeit%20nach%20DSGVO_Presse.docx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grossmann-berger.de" TargetMode="External"/><Relationship Id="rId17" Type="http://schemas.openxmlformats.org/officeDocument/2006/relationships/hyperlink" Target="https://www.grossmann-berger.de/news/pressemapp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datenschutz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germanpropertypartners.de/de/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hyperlink" Target="mailto:presse@grossmann-berge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eug-immobilien.de/privat-immobilien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E9AFB-4C2E-4B91-86DC-82B1C6A8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5254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Britt Finke</cp:lastModifiedBy>
  <cp:revision>114</cp:revision>
  <cp:lastPrinted>2020-02-14T10:25:00Z</cp:lastPrinted>
  <dcterms:created xsi:type="dcterms:W3CDTF">2022-02-08T15:18:00Z</dcterms:created>
  <dcterms:modified xsi:type="dcterms:W3CDTF">2022-02-10T10:55:00Z</dcterms:modified>
</cp:coreProperties>
</file>