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C33C55" w:rsidRDefault="00B5177B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Großvermietung auf dem Büromarkt </w:t>
      </w:r>
      <w:r w:rsidR="00C33C55" w:rsidRPr="00C33C55">
        <w:rPr>
          <w:rFonts w:ascii="Arial" w:hAnsi="Arial" w:cs="Arial"/>
          <w:b/>
        </w:rPr>
        <w:t>Hamburg</w:t>
      </w:r>
      <w:r>
        <w:rPr>
          <w:rFonts w:ascii="Arial" w:hAnsi="Arial" w:cs="Arial"/>
          <w:b/>
        </w:rPr>
        <w:t xml:space="preserve"> über Grossmann &amp; Berger</w:t>
      </w:r>
    </w:p>
    <w:p w:rsidR="00880E09" w:rsidRPr="00C33C55" w:rsidRDefault="00152A13" w:rsidP="00880E0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Haspa</w:t>
      </w:r>
      <w:r w:rsidR="00B5177B">
        <w:rPr>
          <w:rFonts w:ascii="Arial" w:hAnsi="Arial" w:cs="Arial"/>
          <w:b/>
          <w:sz w:val="28"/>
          <w:szCs w:val="28"/>
        </w:rPr>
        <w:t>-Unternehmenszentrale ab 2023 im</w:t>
      </w:r>
      <w:r>
        <w:rPr>
          <w:rFonts w:ascii="Arial" w:hAnsi="Arial" w:cs="Arial"/>
          <w:b/>
          <w:sz w:val="28"/>
          <w:szCs w:val="28"/>
        </w:rPr>
        <w:t xml:space="preserve"> „Deutschlandhaus“</w:t>
      </w:r>
    </w:p>
    <w:p w:rsidR="00063A33" w:rsidRPr="00C33C55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271C" w:rsidRDefault="00B5177B" w:rsidP="00063A33">
      <w:pPr>
        <w:spacing w:after="0" w:line="360" w:lineRule="auto"/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</w:rPr>
        <w:t>Hamburg, 13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Mai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 </w:t>
      </w:r>
      <w:r w:rsidR="00C33C55" w:rsidRPr="00C33C55">
        <w:rPr>
          <w:rFonts w:ascii="Arial" w:hAnsi="Arial" w:cs="Arial"/>
          <w:b/>
          <w:sz w:val="20"/>
          <w:szCs w:val="20"/>
        </w:rPr>
        <w:t>2022</w:t>
      </w:r>
      <w:r w:rsidR="00063A33" w:rsidRPr="00C33C55">
        <w:rPr>
          <w:rFonts w:ascii="Arial" w:hAnsi="Arial" w:cs="Arial"/>
          <w:b/>
          <w:sz w:val="20"/>
          <w:szCs w:val="20"/>
        </w:rPr>
        <w:t xml:space="preserve"> –</w:t>
      </w:r>
      <w:r w:rsidR="00063A33" w:rsidRPr="00C33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Diese Woche wurde der </w:t>
      </w:r>
      <w:r w:rsidR="0055788C">
        <w:rPr>
          <w:rFonts w:ascii="Arial" w:hAnsi="Arial" w:cs="Arial"/>
          <w:sz w:val="20"/>
          <w:szCs w:val="20"/>
        </w:rPr>
        <w:t>2022</w:t>
      </w:r>
      <w:r w:rsidR="007C4D2D">
        <w:rPr>
          <w:rFonts w:ascii="Arial" w:hAnsi="Arial" w:cs="Arial"/>
          <w:sz w:val="20"/>
          <w:szCs w:val="20"/>
        </w:rPr>
        <w:t xml:space="preserve"> bisher großvolumigste Bürom</w:t>
      </w:r>
      <w:r>
        <w:rPr>
          <w:rFonts w:ascii="Arial" w:hAnsi="Arial" w:cs="Arial"/>
          <w:sz w:val="20"/>
          <w:szCs w:val="20"/>
        </w:rPr>
        <w:t>ietvertrag in Hamburg</w:t>
      </w:r>
      <w:r w:rsidRPr="00B5177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unterzeichnet: Für ihre Unternehmenszentrale mietet die Hamburger Sparkasse (Haspa) über 30.000 m² </w:t>
      </w:r>
      <w:r w:rsidR="007C4D2D">
        <w:rPr>
          <w:rFonts w:ascii="Arial" w:hAnsi="Arial" w:cs="Arial"/>
          <w:sz w:val="20"/>
          <w:szCs w:val="20"/>
        </w:rPr>
        <w:t xml:space="preserve">Bürofläche </w:t>
      </w:r>
      <w:r>
        <w:rPr>
          <w:rFonts w:ascii="Arial" w:hAnsi="Arial" w:cs="Arial"/>
          <w:sz w:val="20"/>
          <w:szCs w:val="20"/>
        </w:rPr>
        <w:t xml:space="preserve">im „Deutschlandhaus“ der ABG Real Estate Group am Gänsemarkt an. </w:t>
      </w:r>
      <w:r w:rsidR="009840EB">
        <w:rPr>
          <w:rFonts w:ascii="Arial" w:hAnsi="Arial" w:cs="Arial"/>
          <w:sz w:val="20"/>
          <w:szCs w:val="20"/>
        </w:rPr>
        <w:t xml:space="preserve">Bei der Standortsuche unterstützte und begleitete Grossmann &amp; Berger, Mitglied von German Property Partners (GPP), </w:t>
      </w:r>
      <w:r w:rsidR="009A37FB">
        <w:rPr>
          <w:rFonts w:ascii="Arial" w:hAnsi="Arial" w:cs="Arial"/>
          <w:sz w:val="20"/>
          <w:szCs w:val="20"/>
        </w:rPr>
        <w:t>das</w:t>
      </w:r>
      <w:r w:rsidR="009840EB">
        <w:rPr>
          <w:rFonts w:ascii="Arial" w:hAnsi="Arial" w:cs="Arial"/>
          <w:sz w:val="20"/>
          <w:szCs w:val="20"/>
        </w:rPr>
        <w:t xml:space="preserve"> Bank</w:t>
      </w:r>
      <w:r w:rsidR="009A37FB">
        <w:rPr>
          <w:rFonts w:ascii="Arial" w:hAnsi="Arial" w:cs="Arial"/>
          <w:sz w:val="20"/>
          <w:szCs w:val="20"/>
        </w:rPr>
        <w:t>institut</w:t>
      </w:r>
      <w:r w:rsidR="008167CF">
        <w:rPr>
          <w:rFonts w:ascii="Arial" w:hAnsi="Arial" w:cs="Arial"/>
          <w:sz w:val="20"/>
          <w:szCs w:val="20"/>
        </w:rPr>
        <w:t xml:space="preserve">, </w:t>
      </w:r>
      <w:r w:rsidR="009A37FB">
        <w:rPr>
          <w:rFonts w:ascii="Arial" w:hAnsi="Arial" w:cs="Arial"/>
          <w:sz w:val="20"/>
          <w:szCs w:val="20"/>
        </w:rPr>
        <w:t xml:space="preserve">das </w:t>
      </w:r>
      <w:r w:rsidR="007C4D2D">
        <w:rPr>
          <w:rFonts w:ascii="Arial" w:hAnsi="Arial" w:cs="Arial"/>
          <w:sz w:val="20"/>
          <w:szCs w:val="20"/>
        </w:rPr>
        <w:t xml:space="preserve">wie der Immobiliendienstleister </w:t>
      </w:r>
      <w:r w:rsidR="009840EB">
        <w:rPr>
          <w:rFonts w:ascii="Arial" w:hAnsi="Arial" w:cs="Arial"/>
          <w:sz w:val="20"/>
          <w:szCs w:val="20"/>
        </w:rPr>
        <w:t>zu</w:t>
      </w:r>
      <w:r w:rsidR="007C4D2D">
        <w:rPr>
          <w:rFonts w:ascii="Arial" w:hAnsi="Arial" w:cs="Arial"/>
          <w:sz w:val="20"/>
          <w:szCs w:val="20"/>
        </w:rPr>
        <w:t>r HASPA Finanzholding gehört</w:t>
      </w:r>
      <w:r w:rsidR="009840E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5788C">
        <w:rPr>
          <w:rFonts w:ascii="Arial" w:hAnsi="Arial" w:cs="Arial"/>
          <w:sz w:val="20"/>
          <w:szCs w:val="20"/>
        </w:rPr>
        <w:t xml:space="preserve">Damit sind die Gewerbeflächen </w:t>
      </w:r>
      <w:r w:rsidR="005B47D9">
        <w:rPr>
          <w:rFonts w:ascii="Arial" w:hAnsi="Arial" w:cs="Arial"/>
          <w:sz w:val="20"/>
          <w:szCs w:val="20"/>
        </w:rPr>
        <w:t>i</w:t>
      </w:r>
      <w:r w:rsidR="00713D55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n dem Büro- und Geschäftshaus </w:t>
      </w:r>
      <w:r w:rsidR="0055788C">
        <w:rPr>
          <w:rFonts w:ascii="Arial" w:hAnsi="Arial" w:cs="Arial"/>
          <w:sz w:val="20"/>
          <w:szCs w:val="20"/>
        </w:rPr>
        <w:t>bereits ein Jahr vor Fertigstellung nahezu vollständig vermietet.</w:t>
      </w:r>
    </w:p>
    <w:p w:rsidR="0035271C" w:rsidRDefault="0035271C" w:rsidP="00063A33">
      <w:pPr>
        <w:spacing w:after="0" w:line="360" w:lineRule="auto"/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</w:pPr>
    </w:p>
    <w:p w:rsidR="00156A3D" w:rsidRPr="00156A3D" w:rsidRDefault="00B16B51" w:rsidP="00063A33">
      <w:pPr>
        <w:spacing w:after="0" w:line="360" w:lineRule="auto"/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</w:pPr>
      <w:r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>Standort für knapp 1.500 Mitarbeiter</w:t>
      </w:r>
    </w:p>
    <w:p w:rsidR="00063A33" w:rsidRDefault="008167CF" w:rsidP="00063A33">
      <w:pPr>
        <w:spacing w:after="0" w:line="360" w:lineRule="auto"/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</w:pP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Im „Deutschlandhaus“ wird die Haspa ihre gegenwärtig auf drei Bürostandorte – </w:t>
      </w:r>
      <w:proofErr w:type="spellStart"/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Adolphsplatz</w:t>
      </w:r>
      <w:proofErr w:type="spellEnd"/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, Wikingerweg und Börsenbrücke – verteilten zentralen Bereiche räumlich zusammenführen. Im Erdgeschoss wird darüber hinaus eine Haspa-Nachbarschaftsfiliale integriert. </w:t>
      </w:r>
      <w:r w:rsidR="009A37FB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Damit mietet die </w:t>
      </w:r>
      <w:r w:rsidR="00AA1DE4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Bank</w:t>
      </w:r>
      <w:r w:rsidR="009A37FB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insgesamt neun Stockwerke sowie Teile des Erdgeschosses an. Das „Deutschlandhaus“ wird voraussichtlich bis Herbst 2023 fertiggestellt, so dass die Haspa </w:t>
      </w:r>
      <w:r w:rsidR="00AA1DE4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anschließend </w:t>
      </w:r>
      <w:r w:rsidR="009A37FB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mit dem Umzug </w:t>
      </w:r>
      <w:r w:rsidR="00E17EC0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ihrer</w:t>
      </w:r>
      <w:r w:rsidR="009A37FB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knapp 1.500 Mitarbeiter in die neue Unternehmenszentrale beginnen kann. Der Mietvertrag läuft 15 Jahre mit einer Verlängerungsoption. Über weitere Details des Vertrags vereinbarten die beteiligten Parteien Stillschweigen.</w:t>
      </w:r>
      <w:r w:rsidR="00C82BE0" w:rsidRPr="00C82BE0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</w:t>
      </w:r>
      <w:r w:rsidR="00C82BE0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Für die Modernisierung und Weiterentwicklung der am </w:t>
      </w:r>
      <w:proofErr w:type="spellStart"/>
      <w:r w:rsidR="00C82BE0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Adolphsplatz</w:t>
      </w:r>
      <w:proofErr w:type="spellEnd"/>
      <w:r w:rsidR="00C82BE0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freiwerdenden Flächen prüft die Nord-IMMO</w:t>
      </w:r>
      <w:r w:rsidR="00F81909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, die ebenfalls zur HASPA Finanzholding gehört,</w:t>
      </w:r>
      <w:r w:rsidR="00C82BE0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aktuell alle Optionen.</w:t>
      </w:r>
    </w:p>
    <w:p w:rsidR="008C462F" w:rsidRDefault="008C462F" w:rsidP="00063A33">
      <w:pPr>
        <w:spacing w:after="0" w:line="360" w:lineRule="auto"/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</w:pPr>
    </w:p>
    <w:p w:rsidR="00156A3D" w:rsidRPr="00156A3D" w:rsidRDefault="00EA5406" w:rsidP="00063A33">
      <w:pPr>
        <w:spacing w:after="0" w:line="360" w:lineRule="auto"/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</w:pPr>
      <w:r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>Im Herzen Hamburgs</w:t>
      </w:r>
      <w:r w:rsidR="00542DC3"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 xml:space="preserve"> unter einem Dach</w:t>
      </w:r>
    </w:p>
    <w:p w:rsidR="00784917" w:rsidRDefault="00E17EC0" w:rsidP="00784917">
      <w:pPr>
        <w:spacing w:after="0" w:line="360" w:lineRule="auto"/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</w:pP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An ihrem 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künftigen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Standort 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wird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die Haspa konsequent ihr Konzept der persönlichen Nähe fort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führen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,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</w:t>
      </w:r>
      <w:r w:rsidR="00542DC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auf dem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bereits </w:t>
      </w:r>
      <w:r w:rsidR="00EC171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die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Kundenkontakte in den Nachbarschaftsfilialen</w:t>
      </w:r>
      <w:r w:rsidR="00542DC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basieren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. </w:t>
      </w:r>
      <w:r w:rsidR="008E7ECF" w:rsidRPr="008E7ECF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„Das Bürogebäude wird so gestaltet, dass sich unsere Mitarbeiter noch besser austauschen, kreativ zusammenarbeiten und einfacher Kontakte pflegen können“,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erläutert Haspa-Vorstandssprecher </w:t>
      </w:r>
      <w:r w:rsidR="008E7ECF" w:rsidRPr="008E7ECF"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>Harald Vogelsang</w:t>
      </w:r>
      <w:r w:rsidR="008E7ECF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.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</w:t>
      </w:r>
      <w:r w:rsidR="00542DC3" w:rsidRPr="00542DC3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„Damit sind wir wieder im Herzen der Stadt verankert und unter einem Dach vereint.“</w:t>
      </w:r>
      <w:r w:rsidR="00542DC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</w:t>
      </w:r>
      <w:r w:rsidR="0055788C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Sprecher der Geschäftsführung von Grossmann &amp; Berger,</w:t>
      </w:r>
      <w:r w:rsidR="0055788C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 </w:t>
      </w:r>
      <w:r w:rsidR="0055788C" w:rsidRPr="00847AE1"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>Andreas Rehberg</w:t>
      </w:r>
      <w:r w:rsidR="0055788C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,</w:t>
      </w:r>
      <w:r w:rsidR="0055788C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 </w:t>
      </w:r>
      <w:r w:rsidR="0055788C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ordnet den Abschluss in das aktuelle Geschehen auf dem Büromarkt Hamburg ein:</w:t>
      </w:r>
      <w:r w:rsidR="0055788C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 </w:t>
      </w:r>
      <w:r w:rsidR="00136B63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„</w:t>
      </w:r>
      <w:r w:rsidR="00847AE1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Die </w:t>
      </w:r>
      <w:r w:rsidR="00542DC3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geplante</w:t>
      </w:r>
      <w:r w:rsidR="00EC61E7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 Standortverlagerung der </w:t>
      </w:r>
      <w:r w:rsidR="00847AE1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Haspa ist ein Beispiel dafür, wie Hamburger Unternehmen </w:t>
      </w:r>
      <w:r w:rsidR="00EC61E7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mit den</w:t>
      </w:r>
      <w:r w:rsidR="00847AE1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 neuen Arbeitsgegebenheiten </w:t>
      </w:r>
      <w:r w:rsidR="00EC61E7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umgehen</w:t>
      </w:r>
      <w:r w:rsidR="00847AE1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. </w:t>
      </w:r>
      <w:r w:rsidR="00EC61E7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 xml:space="preserve">Um für Mitarbeiter attraktiv zu sein, werden eine zentrale Lage und </w:t>
      </w:r>
      <w:r w:rsidR="00542DC3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eine 1-a-</w:t>
      </w:r>
      <w:r w:rsidR="00EC61E7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Gebäudequalität immer wichtiger</w:t>
      </w:r>
      <w:r w:rsidR="0055788C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.</w:t>
      </w:r>
      <w:r w:rsidR="00136B63" w:rsidRPr="00847AE1">
        <w:rPr>
          <w:rStyle w:val="Fett"/>
          <w:rFonts w:ascii="Arial" w:hAnsi="Arial" w:cs="Arial"/>
          <w:b w:val="0"/>
          <w:i/>
          <w:spacing w:val="2"/>
          <w:sz w:val="20"/>
          <w:szCs w:val="20"/>
          <w:bdr w:val="none" w:sz="0" w:space="0" w:color="auto" w:frame="1"/>
        </w:rPr>
        <w:t>“</w:t>
      </w:r>
    </w:p>
    <w:p w:rsidR="0055788C" w:rsidRPr="0055788C" w:rsidRDefault="0055788C" w:rsidP="00784917">
      <w:pPr>
        <w:spacing w:after="0" w:line="360" w:lineRule="auto"/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</w:pPr>
    </w:p>
    <w:p w:rsidR="0055788C" w:rsidRPr="007A1D6D" w:rsidRDefault="007A1D6D" w:rsidP="00784917">
      <w:pPr>
        <w:spacing w:after="0" w:line="360" w:lineRule="auto"/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</w:pPr>
      <w:r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>Zentrale Palmenhalle</w:t>
      </w:r>
      <w:r w:rsidRPr="007A1D6D"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 xml:space="preserve"> </w:t>
      </w:r>
      <w:r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>Highlight</w:t>
      </w:r>
      <w:r>
        <w:rPr>
          <w:rStyle w:val="Fett"/>
          <w:rFonts w:ascii="Arial" w:hAnsi="Arial" w:cs="Arial"/>
          <w:spacing w:val="2"/>
          <w:sz w:val="20"/>
          <w:szCs w:val="20"/>
          <w:bdr w:val="none" w:sz="0" w:space="0" w:color="auto" w:frame="1"/>
        </w:rPr>
        <w:t xml:space="preserve"> der Immobilie</w:t>
      </w:r>
    </w:p>
    <w:p w:rsidR="0055788C" w:rsidRPr="0055788C" w:rsidRDefault="00EA5406" w:rsidP="007D2116">
      <w:pPr>
        <w:spacing w:after="0" w:line="360" w:lineRule="auto"/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</w:pP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Der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Grundstein 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für das „Deutschlandhaus“ wurde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im Oktober 2020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gelegt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.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Die Pläne für das Objekt stammen von Hadi </w:t>
      </w:r>
      <w:proofErr w:type="spellStart"/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Teherani</w:t>
      </w:r>
      <w:proofErr w:type="spellEnd"/>
      <w:r w:rsidR="00FA650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. Sie 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orientieren sich am </w:t>
      </w:r>
      <w:r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Ursprungsentwurf des Vorgängerbaus, der Ende der 1920er Jahre en</w:t>
      </w:r>
      <w:r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tstanden war, und interpretieren</w:t>
      </w:r>
      <w:r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ihn zeitgemäß.</w:t>
      </w:r>
      <w:r w:rsidR="006B7712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Das </w:t>
      </w:r>
      <w:r w:rsidR="006B7712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„Deutschlandhaus“ </w:t>
      </w:r>
      <w:r w:rsidR="006B7712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verfügt über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mehr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lastRenderedPageBreak/>
        <w:t xml:space="preserve">als 40.000 </w:t>
      </w:r>
      <w:r w:rsidR="006B7712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m² flexible Bürof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lächen </w:t>
      </w:r>
      <w:r w:rsidR="006B7712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sowie Flächen für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Gastronomie, Einzelhandel und Wohnen. </w:t>
      </w:r>
      <w:r w:rsidR="00FA650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Die </w:t>
      </w:r>
      <w:r w:rsidR="00FA6503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Büroflächen</w:t>
      </w:r>
      <w:r w:rsidR="00FA6503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</w:t>
      </w:r>
      <w:r w:rsidR="00FA650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auf </w:t>
      </w:r>
      <w:r w:rsidR="00FA650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zehn </w:t>
      </w:r>
      <w:r w:rsidR="00FA6503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Geschosse</w:t>
      </w:r>
      <w:r w:rsidR="00FA650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n </w:t>
      </w:r>
      <w:r w:rsidR="00FA6503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umfassen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33.250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m²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. Highlight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der Immobilie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ist die rund 1.200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m²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große Palmenhalle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mit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eine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r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fast 40 Meter hohe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n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Lichtkuppel. Am Valentinskamp entstehen zudem 30 Wohneinheiten mit insgesamt 2.800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m²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. Für Einzelhandelsgeschäfte und Gastronomie sind 3.300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m²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vorgesehen. Auf 9.450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m² 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befinden sich in den beiden Untergeschossen Technikräume sowie 321 Fahrrad- und 164 Autostellplätze. </w:t>
      </w:r>
      <w:r w:rsidR="004436D8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>Die Liegenschaft</w:t>
      </w:r>
      <w:r w:rsidR="007D2116" w:rsidRPr="007D2116">
        <w:rPr>
          <w:rStyle w:val="Fett"/>
          <w:rFonts w:ascii="Arial" w:hAnsi="Arial" w:cs="Arial"/>
          <w:b w:val="0"/>
          <w:spacing w:val="2"/>
          <w:sz w:val="20"/>
          <w:szCs w:val="20"/>
          <w:bdr w:val="none" w:sz="0" w:space="0" w:color="auto" w:frame="1"/>
        </w:rPr>
        <w:t xml:space="preserve"> wird unter Einhaltung der USGBC-Qualitätsanforderungen realisiert und ist mit der LEED-Auszeichnung Gold vorzertifiziert.</w:t>
      </w:r>
    </w:p>
    <w:p w:rsidR="0055788C" w:rsidRPr="0055788C" w:rsidRDefault="0055788C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0"/>
        <w:gridCol w:w="6804"/>
      </w:tblGrid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0845D0" w:rsidP="009273A7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Bürofläche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152A13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r w:rsidR="00152A13">
              <w:rPr>
                <w:rFonts w:ascii="Arial" w:hAnsi="Arial"/>
                <w:sz w:val="20"/>
                <w:szCs w:val="20"/>
              </w:rPr>
              <w:t>Neustadt</w:t>
            </w:r>
          </w:p>
        </w:tc>
      </w:tr>
      <w:tr w:rsidR="00112488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488" w:rsidRDefault="00152A13" w:rsidP="00243480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Projekt</w:t>
            </w:r>
            <w:r w:rsidR="00112488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2488" w:rsidRDefault="00112488" w:rsidP="00152A1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„</w:t>
            </w:r>
            <w:r w:rsidR="00152A13">
              <w:rPr>
                <w:rFonts w:ascii="Arial" w:hAnsi="Arial"/>
                <w:sz w:val="20"/>
                <w:szCs w:val="20"/>
              </w:rPr>
              <w:t>Deutschlandhaus</w:t>
            </w:r>
            <w:r>
              <w:rPr>
                <w:rFonts w:ascii="Arial" w:hAnsi="Arial"/>
                <w:sz w:val="20"/>
                <w:szCs w:val="20"/>
              </w:rPr>
              <w:t>“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52A13" w:rsidP="00152A13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Dammtorstraße 1,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Drehbahn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1, Valentinskamp 91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9273A7" w:rsidP="00C33C55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52A13" w:rsidP="008C462F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ABG Real Estate Group</w:t>
            </w:r>
          </w:p>
        </w:tc>
      </w:tr>
      <w:tr w:rsidR="00784917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9273A7" w:rsidP="00C33C55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  <w:r w:rsidR="00E30E9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52A13" w:rsidP="00942AD8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 Sparkasse</w:t>
            </w:r>
            <w:r w:rsidR="009273A7">
              <w:rPr>
                <w:rFonts w:ascii="Arial" w:hAnsi="Arial"/>
                <w:sz w:val="20"/>
                <w:szCs w:val="20"/>
              </w:rPr>
              <w:t xml:space="preserve"> </w:t>
            </w:r>
            <w:r w:rsidR="00C33C55">
              <w:rPr>
                <w:rFonts w:ascii="Arial" w:hAnsi="Arial"/>
                <w:sz w:val="20"/>
                <w:szCs w:val="20"/>
              </w:rPr>
              <w:t>GmbH</w:t>
            </w:r>
          </w:p>
        </w:tc>
      </w:tr>
      <w:tr w:rsidR="001C6ED8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537E6" w:rsidTr="00C33C55">
        <w:trPr>
          <w:trHeight w:val="2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7E6" w:rsidRDefault="007537E6" w:rsidP="00597CCB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Bürofläche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37E6" w:rsidRDefault="004436D8" w:rsidP="00152A1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Über</w:t>
            </w:r>
            <w:r w:rsidR="007537E6">
              <w:rPr>
                <w:rFonts w:ascii="Arial" w:hAnsi="Arial"/>
                <w:sz w:val="20"/>
                <w:szCs w:val="20"/>
              </w:rPr>
              <w:t xml:space="preserve"> </w:t>
            </w:r>
            <w:r w:rsidR="00152A13">
              <w:rPr>
                <w:rFonts w:ascii="Arial" w:hAnsi="Arial"/>
                <w:sz w:val="20"/>
                <w:szCs w:val="20"/>
              </w:rPr>
              <w:t>30.000</w:t>
            </w:r>
            <w:r w:rsidR="007537E6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36"/>
      </w:tblGrid>
      <w:tr w:rsidR="000845D0" w:rsidRPr="000845D0" w:rsidTr="00BF0E76">
        <w:trPr>
          <w:trHeight w:val="2820"/>
        </w:trPr>
        <w:tc>
          <w:tcPr>
            <w:tcW w:w="4111" w:type="dxa"/>
          </w:tcPr>
          <w:p w:rsidR="00597CCB" w:rsidRDefault="00C76F59" w:rsidP="00D45613">
            <w:pPr>
              <w:spacing w:after="0" w:line="36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473325" cy="1600835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su Deutschlandhaus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5" cy="160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C6CBF" w:rsidRPr="000845D0" w:rsidRDefault="00AC6CBF" w:rsidP="00D4561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6" w:type="dxa"/>
          </w:tcPr>
          <w:p w:rsidR="00AC6CBF" w:rsidRPr="000845D0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:rsidR="00AC6CBF" w:rsidRPr="000845D0" w:rsidRDefault="00C76F59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„Deutschlandhaus“ am Gänsemarkt in Hamburg wird aktuell nach Plänen von Hadi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Teherani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realisiert und ab Herbst 2023 Sitz der Haspa-Unternehmenszentrale. Grossmann &amp; Berger unterstützte bei der Standortsuche</w:t>
            </w:r>
            <w:r w:rsidR="001A63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6CBF" w:rsidRPr="000845D0" w:rsidRDefault="00AC6CBF" w:rsidP="00D4561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C6CBF" w:rsidRPr="000845D0" w:rsidRDefault="00AC6CBF" w:rsidP="00C76F5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Quelle: </w:t>
            </w:r>
            <w:r w:rsidR="00C76F59">
              <w:rPr>
                <w:rFonts w:ascii="Arial" w:hAnsi="Arial" w:cs="Arial"/>
                <w:sz w:val="20"/>
                <w:szCs w:val="20"/>
              </w:rPr>
              <w:t>ABG Real Estate Group</w:t>
            </w:r>
          </w:p>
        </w:tc>
      </w:tr>
    </w:tbl>
    <w:p w:rsidR="00503D8C" w:rsidRPr="00503D8C" w:rsidRDefault="00D60DC4" w:rsidP="000845D0">
      <w:pPr>
        <w:spacing w:after="0" w:line="360" w:lineRule="auto"/>
        <w:textAlignment w:val="baseline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503D8C" w:rsidSect="00D83C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C" w:rsidRDefault="008F06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76F5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C76F59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CC" w:rsidRDefault="008F06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31749"/>
    <w:rsid w:val="00060743"/>
    <w:rsid w:val="00063A33"/>
    <w:rsid w:val="00066796"/>
    <w:rsid w:val="00076346"/>
    <w:rsid w:val="000766D7"/>
    <w:rsid w:val="000845D0"/>
    <w:rsid w:val="000B3315"/>
    <w:rsid w:val="000C770D"/>
    <w:rsid w:val="000E03F3"/>
    <w:rsid w:val="001029C4"/>
    <w:rsid w:val="00112488"/>
    <w:rsid w:val="0011486D"/>
    <w:rsid w:val="00121E33"/>
    <w:rsid w:val="001324D6"/>
    <w:rsid w:val="00135BD2"/>
    <w:rsid w:val="00136B63"/>
    <w:rsid w:val="00145F7A"/>
    <w:rsid w:val="00152A13"/>
    <w:rsid w:val="00154825"/>
    <w:rsid w:val="00156A3D"/>
    <w:rsid w:val="001655B6"/>
    <w:rsid w:val="0017516B"/>
    <w:rsid w:val="00176F1D"/>
    <w:rsid w:val="001960CD"/>
    <w:rsid w:val="001A2ABE"/>
    <w:rsid w:val="001A360C"/>
    <w:rsid w:val="001A6374"/>
    <w:rsid w:val="001B1DA3"/>
    <w:rsid w:val="001C6ED8"/>
    <w:rsid w:val="001D14DA"/>
    <w:rsid w:val="001E6995"/>
    <w:rsid w:val="001F1513"/>
    <w:rsid w:val="001F734B"/>
    <w:rsid w:val="00205769"/>
    <w:rsid w:val="00212FEC"/>
    <w:rsid w:val="002131BB"/>
    <w:rsid w:val="00227E31"/>
    <w:rsid w:val="00230F81"/>
    <w:rsid w:val="00254C6F"/>
    <w:rsid w:val="00281E80"/>
    <w:rsid w:val="002834B0"/>
    <w:rsid w:val="00283671"/>
    <w:rsid w:val="00284E27"/>
    <w:rsid w:val="00286C2A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25E2A"/>
    <w:rsid w:val="0034786C"/>
    <w:rsid w:val="003517C9"/>
    <w:rsid w:val="0035271C"/>
    <w:rsid w:val="00356524"/>
    <w:rsid w:val="00370000"/>
    <w:rsid w:val="00373507"/>
    <w:rsid w:val="0038230E"/>
    <w:rsid w:val="00382529"/>
    <w:rsid w:val="003A12FD"/>
    <w:rsid w:val="003E099F"/>
    <w:rsid w:val="003F5DB5"/>
    <w:rsid w:val="0040086D"/>
    <w:rsid w:val="004017D8"/>
    <w:rsid w:val="00411E03"/>
    <w:rsid w:val="004123B1"/>
    <w:rsid w:val="004303A1"/>
    <w:rsid w:val="00440DC9"/>
    <w:rsid w:val="004436D8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D7C94"/>
    <w:rsid w:val="004D7F0D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2DC3"/>
    <w:rsid w:val="00543C55"/>
    <w:rsid w:val="0055136C"/>
    <w:rsid w:val="00552E1B"/>
    <w:rsid w:val="005554C7"/>
    <w:rsid w:val="0055788C"/>
    <w:rsid w:val="00582B99"/>
    <w:rsid w:val="00595E98"/>
    <w:rsid w:val="00597CCB"/>
    <w:rsid w:val="005A6990"/>
    <w:rsid w:val="005B0FC9"/>
    <w:rsid w:val="005B47D9"/>
    <w:rsid w:val="005B66D3"/>
    <w:rsid w:val="005C4556"/>
    <w:rsid w:val="005C5302"/>
    <w:rsid w:val="005E362E"/>
    <w:rsid w:val="0061109D"/>
    <w:rsid w:val="00612AA0"/>
    <w:rsid w:val="006138CB"/>
    <w:rsid w:val="006224C4"/>
    <w:rsid w:val="006225EA"/>
    <w:rsid w:val="006261DF"/>
    <w:rsid w:val="006337E3"/>
    <w:rsid w:val="00642074"/>
    <w:rsid w:val="0064554D"/>
    <w:rsid w:val="00646A03"/>
    <w:rsid w:val="006635D4"/>
    <w:rsid w:val="006811ED"/>
    <w:rsid w:val="006944A9"/>
    <w:rsid w:val="00695E58"/>
    <w:rsid w:val="006A1329"/>
    <w:rsid w:val="006B7712"/>
    <w:rsid w:val="006E0F35"/>
    <w:rsid w:val="00713D55"/>
    <w:rsid w:val="00716933"/>
    <w:rsid w:val="00720DFF"/>
    <w:rsid w:val="00727E24"/>
    <w:rsid w:val="007537E6"/>
    <w:rsid w:val="00762CC5"/>
    <w:rsid w:val="00784917"/>
    <w:rsid w:val="00787488"/>
    <w:rsid w:val="007906B4"/>
    <w:rsid w:val="007A1D6D"/>
    <w:rsid w:val="007C4D2D"/>
    <w:rsid w:val="007D2116"/>
    <w:rsid w:val="007E759D"/>
    <w:rsid w:val="00812471"/>
    <w:rsid w:val="008167CF"/>
    <w:rsid w:val="008261A5"/>
    <w:rsid w:val="0083382E"/>
    <w:rsid w:val="00847AE1"/>
    <w:rsid w:val="00855325"/>
    <w:rsid w:val="00862E34"/>
    <w:rsid w:val="00865915"/>
    <w:rsid w:val="008705F4"/>
    <w:rsid w:val="00871832"/>
    <w:rsid w:val="00872BE8"/>
    <w:rsid w:val="00880E09"/>
    <w:rsid w:val="00886CCE"/>
    <w:rsid w:val="00896B33"/>
    <w:rsid w:val="008A62FB"/>
    <w:rsid w:val="008A77B7"/>
    <w:rsid w:val="008B0F67"/>
    <w:rsid w:val="008B1E30"/>
    <w:rsid w:val="008C462F"/>
    <w:rsid w:val="008C608D"/>
    <w:rsid w:val="008D1DAF"/>
    <w:rsid w:val="008E461D"/>
    <w:rsid w:val="008E7ECF"/>
    <w:rsid w:val="008F06CC"/>
    <w:rsid w:val="008F08E5"/>
    <w:rsid w:val="008F5213"/>
    <w:rsid w:val="00920C9C"/>
    <w:rsid w:val="00922754"/>
    <w:rsid w:val="00925781"/>
    <w:rsid w:val="009258D0"/>
    <w:rsid w:val="009273A7"/>
    <w:rsid w:val="00935AB3"/>
    <w:rsid w:val="00941C0F"/>
    <w:rsid w:val="00942AD8"/>
    <w:rsid w:val="00952D22"/>
    <w:rsid w:val="0097322B"/>
    <w:rsid w:val="009734CE"/>
    <w:rsid w:val="0097795B"/>
    <w:rsid w:val="009840EB"/>
    <w:rsid w:val="00996E1A"/>
    <w:rsid w:val="009A37FB"/>
    <w:rsid w:val="009C18F5"/>
    <w:rsid w:val="009D24DA"/>
    <w:rsid w:val="009D5D75"/>
    <w:rsid w:val="009F32A2"/>
    <w:rsid w:val="009F54CE"/>
    <w:rsid w:val="00A06264"/>
    <w:rsid w:val="00A1639A"/>
    <w:rsid w:val="00A215C9"/>
    <w:rsid w:val="00A25E5B"/>
    <w:rsid w:val="00A52147"/>
    <w:rsid w:val="00A5364B"/>
    <w:rsid w:val="00A615E0"/>
    <w:rsid w:val="00A65E2B"/>
    <w:rsid w:val="00A74AA0"/>
    <w:rsid w:val="00A77100"/>
    <w:rsid w:val="00AA1DE4"/>
    <w:rsid w:val="00AC6CBF"/>
    <w:rsid w:val="00AD17B7"/>
    <w:rsid w:val="00AE3723"/>
    <w:rsid w:val="00B077D5"/>
    <w:rsid w:val="00B16B51"/>
    <w:rsid w:val="00B200E4"/>
    <w:rsid w:val="00B35B6D"/>
    <w:rsid w:val="00B35DC6"/>
    <w:rsid w:val="00B4046E"/>
    <w:rsid w:val="00B51699"/>
    <w:rsid w:val="00B5177B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0E76"/>
    <w:rsid w:val="00BF37E6"/>
    <w:rsid w:val="00BF3AFD"/>
    <w:rsid w:val="00C105F4"/>
    <w:rsid w:val="00C1606C"/>
    <w:rsid w:val="00C23180"/>
    <w:rsid w:val="00C27286"/>
    <w:rsid w:val="00C33C55"/>
    <w:rsid w:val="00C41492"/>
    <w:rsid w:val="00C702B5"/>
    <w:rsid w:val="00C70389"/>
    <w:rsid w:val="00C7240B"/>
    <w:rsid w:val="00C76F59"/>
    <w:rsid w:val="00C82BE0"/>
    <w:rsid w:val="00C904B6"/>
    <w:rsid w:val="00C96DF4"/>
    <w:rsid w:val="00C96E0B"/>
    <w:rsid w:val="00CA35C1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1854"/>
    <w:rsid w:val="00D634A3"/>
    <w:rsid w:val="00D72339"/>
    <w:rsid w:val="00D73E47"/>
    <w:rsid w:val="00D74ABB"/>
    <w:rsid w:val="00D8382B"/>
    <w:rsid w:val="00D83CB7"/>
    <w:rsid w:val="00D97FA8"/>
    <w:rsid w:val="00DA4DDD"/>
    <w:rsid w:val="00DC7B25"/>
    <w:rsid w:val="00DD384D"/>
    <w:rsid w:val="00DD5DF7"/>
    <w:rsid w:val="00DD6B73"/>
    <w:rsid w:val="00E112C9"/>
    <w:rsid w:val="00E158F7"/>
    <w:rsid w:val="00E17EC0"/>
    <w:rsid w:val="00E2087E"/>
    <w:rsid w:val="00E30E9F"/>
    <w:rsid w:val="00E36818"/>
    <w:rsid w:val="00E42FDD"/>
    <w:rsid w:val="00E4471E"/>
    <w:rsid w:val="00E47B97"/>
    <w:rsid w:val="00E634CC"/>
    <w:rsid w:val="00E82F0E"/>
    <w:rsid w:val="00E86494"/>
    <w:rsid w:val="00E96FAC"/>
    <w:rsid w:val="00EA129F"/>
    <w:rsid w:val="00EA5406"/>
    <w:rsid w:val="00EC171F"/>
    <w:rsid w:val="00EC61E7"/>
    <w:rsid w:val="00ED0582"/>
    <w:rsid w:val="00EE31F6"/>
    <w:rsid w:val="00EE36DC"/>
    <w:rsid w:val="00F044EE"/>
    <w:rsid w:val="00F10717"/>
    <w:rsid w:val="00F15E84"/>
    <w:rsid w:val="00F2301F"/>
    <w:rsid w:val="00F3320B"/>
    <w:rsid w:val="00F40E92"/>
    <w:rsid w:val="00F41947"/>
    <w:rsid w:val="00F435AA"/>
    <w:rsid w:val="00F439AE"/>
    <w:rsid w:val="00F63636"/>
    <w:rsid w:val="00F658AB"/>
    <w:rsid w:val="00F76C6A"/>
    <w:rsid w:val="00F81909"/>
    <w:rsid w:val="00F83BF1"/>
    <w:rsid w:val="00F90B0D"/>
    <w:rsid w:val="00F90CB9"/>
    <w:rsid w:val="00FA6503"/>
    <w:rsid w:val="00FB064F"/>
    <w:rsid w:val="00FB144F"/>
    <w:rsid w:val="00FB159A"/>
    <w:rsid w:val="00FB4D77"/>
    <w:rsid w:val="00FC497D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734FA7A0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e01\Marketing\Presse\1_Dealmeldungen\DEALmeldungen%20B&#252;ro%20&amp;%20Praxis\01-Velux-Gasstra&#223;e-8-16-NLA\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news/pressemapp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D7DE-B67A-451E-8E54-CEFBDB52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47</cp:revision>
  <cp:lastPrinted>2017-12-15T09:20:00Z</cp:lastPrinted>
  <dcterms:created xsi:type="dcterms:W3CDTF">2022-04-11T09:12:00Z</dcterms:created>
  <dcterms:modified xsi:type="dcterms:W3CDTF">2022-05-13T10:33:00Z</dcterms:modified>
</cp:coreProperties>
</file>