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4F28A" w14:textId="792ABD4C" w:rsidR="001533C6" w:rsidRPr="005D1DAB" w:rsidRDefault="001533C6" w:rsidP="001533C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0BCC">
        <w:rPr>
          <w:rFonts w:ascii="Arial" w:hAnsi="Arial" w:cs="Arial"/>
          <w:b/>
        </w:rPr>
        <w:t xml:space="preserve">Hamburg: Bürovermietungsmarkt </w:t>
      </w:r>
      <w:r>
        <w:rPr>
          <w:rFonts w:ascii="Arial" w:hAnsi="Arial" w:cs="Arial"/>
          <w:b/>
        </w:rPr>
        <w:t>1.</w:t>
      </w:r>
      <w:r w:rsidR="00EB2E4B">
        <w:rPr>
          <w:rFonts w:ascii="Arial" w:hAnsi="Arial" w:cs="Arial"/>
          <w:b/>
        </w:rPr>
        <w:t>-2.</w:t>
      </w:r>
      <w:r w:rsidRPr="00470BCC">
        <w:rPr>
          <w:rFonts w:ascii="Arial" w:hAnsi="Arial" w:cs="Arial"/>
          <w:b/>
        </w:rPr>
        <w:t xml:space="preserve"> Quartal 20</w:t>
      </w:r>
      <w:r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br/>
      </w:r>
      <w:r w:rsidR="00866AE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Neubauverträge führen zu Rekordsprung bei Durchschnittsmiete </w:t>
      </w:r>
    </w:p>
    <w:p w14:paraId="18597652" w14:textId="77777777" w:rsidR="001533C6" w:rsidRPr="0090748B" w:rsidRDefault="001533C6" w:rsidP="001533C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59E9B6" w14:textId="7E93FEC7" w:rsidR="005B4202" w:rsidRDefault="001533C6" w:rsidP="00475BA6">
      <w:pPr>
        <w:pStyle w:val="FliesstextNL"/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475BA6">
        <w:rPr>
          <w:rFonts w:ascii="Arial" w:hAnsi="Arial" w:cs="Arial"/>
          <w:b/>
          <w:color w:val="auto"/>
          <w:sz w:val="20"/>
          <w:szCs w:val="20"/>
        </w:rPr>
        <w:t xml:space="preserve">Hamburg, </w:t>
      </w:r>
      <w:r w:rsidR="00A72D61" w:rsidRPr="00475BA6">
        <w:rPr>
          <w:rFonts w:ascii="Arial" w:hAnsi="Arial" w:cs="Arial"/>
          <w:b/>
          <w:color w:val="auto"/>
          <w:sz w:val="20"/>
          <w:szCs w:val="20"/>
        </w:rPr>
        <w:t>5</w:t>
      </w:r>
      <w:r w:rsidRPr="00475BA6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D21B3B" w:rsidRPr="00475BA6">
        <w:rPr>
          <w:rFonts w:ascii="Arial" w:hAnsi="Arial" w:cs="Arial"/>
          <w:b/>
          <w:color w:val="auto"/>
          <w:sz w:val="20"/>
          <w:szCs w:val="20"/>
        </w:rPr>
        <w:t>Jul</w:t>
      </w:r>
      <w:r w:rsidR="009A0E66" w:rsidRPr="00475BA6">
        <w:rPr>
          <w:rFonts w:ascii="Arial" w:hAnsi="Arial" w:cs="Arial"/>
          <w:b/>
          <w:color w:val="auto"/>
          <w:sz w:val="20"/>
          <w:szCs w:val="20"/>
        </w:rPr>
        <w:t>i</w:t>
      </w:r>
      <w:r w:rsidR="00F26E7B" w:rsidRPr="00475BA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475BA6">
        <w:rPr>
          <w:rFonts w:ascii="Arial" w:hAnsi="Arial" w:cs="Arial"/>
          <w:b/>
          <w:color w:val="auto"/>
          <w:sz w:val="20"/>
          <w:szCs w:val="20"/>
        </w:rPr>
        <w:t xml:space="preserve">2022 </w:t>
      </w:r>
      <w:r w:rsidRPr="00475BA6">
        <w:rPr>
          <w:rFonts w:ascii="Arial" w:hAnsi="Arial" w:cs="Arial"/>
          <w:color w:val="auto"/>
          <w:sz w:val="20"/>
          <w:szCs w:val="20"/>
        </w:rPr>
        <w:t>–</w:t>
      </w:r>
      <w:r w:rsidR="00853339" w:rsidRPr="00475BA6">
        <w:rPr>
          <w:rFonts w:ascii="Arial" w:hAnsi="Arial" w:cs="Arial"/>
          <w:color w:val="auto"/>
          <w:sz w:val="20"/>
          <w:szCs w:val="20"/>
        </w:rPr>
        <w:t xml:space="preserve"> </w:t>
      </w:r>
      <w:r w:rsidR="00486DD1" w:rsidRPr="00475BA6">
        <w:rPr>
          <w:rFonts w:ascii="Arial" w:hAnsi="Arial" w:cs="Arial"/>
          <w:color w:val="auto"/>
          <w:sz w:val="20"/>
          <w:szCs w:val="20"/>
        </w:rPr>
        <w:t xml:space="preserve">Mit </w:t>
      </w:r>
      <w:r w:rsidR="00D21B3B" w:rsidRPr="00475BA6">
        <w:rPr>
          <w:rFonts w:ascii="Arial" w:hAnsi="Arial" w:cs="Arial"/>
          <w:color w:val="auto"/>
          <w:sz w:val="20"/>
          <w:szCs w:val="20"/>
        </w:rPr>
        <w:t xml:space="preserve">über </w:t>
      </w:r>
      <w:r w:rsidR="00486DD1" w:rsidRPr="00475BA6">
        <w:rPr>
          <w:rFonts w:ascii="Arial" w:hAnsi="Arial" w:cs="Arial"/>
          <w:color w:val="auto"/>
          <w:sz w:val="20"/>
          <w:szCs w:val="20"/>
        </w:rPr>
        <w:t>einem Drittel mehr Flächenumsatz als vor einem Jahr hat d</w:t>
      </w:r>
      <w:r w:rsidR="009A0E66" w:rsidRPr="00475BA6">
        <w:rPr>
          <w:rFonts w:ascii="Arial" w:hAnsi="Arial" w:cs="Arial"/>
          <w:color w:val="auto"/>
          <w:sz w:val="20"/>
          <w:szCs w:val="20"/>
        </w:rPr>
        <w:t xml:space="preserve">er Bürovermietungsmarkt Hamburg </w:t>
      </w:r>
      <w:r w:rsidR="00486DD1" w:rsidRPr="00475BA6">
        <w:rPr>
          <w:rFonts w:ascii="Arial" w:hAnsi="Arial" w:cs="Arial"/>
          <w:color w:val="auto"/>
          <w:sz w:val="20"/>
          <w:szCs w:val="20"/>
        </w:rPr>
        <w:t xml:space="preserve">zwischen </w:t>
      </w:r>
      <w:r w:rsidR="00287506" w:rsidRPr="00475BA6">
        <w:rPr>
          <w:rFonts w:ascii="Arial" w:hAnsi="Arial" w:cs="Arial"/>
          <w:color w:val="auto"/>
          <w:sz w:val="20"/>
          <w:szCs w:val="20"/>
        </w:rPr>
        <w:t xml:space="preserve">Januar </w:t>
      </w:r>
      <w:r w:rsidR="00486DD1" w:rsidRPr="00475BA6">
        <w:rPr>
          <w:rFonts w:ascii="Arial" w:hAnsi="Arial" w:cs="Arial"/>
          <w:color w:val="auto"/>
          <w:sz w:val="20"/>
          <w:szCs w:val="20"/>
        </w:rPr>
        <w:t>und Juni</w:t>
      </w:r>
      <w:r w:rsidR="009A0E66" w:rsidRPr="00475BA6">
        <w:rPr>
          <w:rFonts w:ascii="Arial" w:hAnsi="Arial" w:cs="Arial"/>
          <w:color w:val="auto"/>
          <w:sz w:val="20"/>
          <w:szCs w:val="20"/>
        </w:rPr>
        <w:t xml:space="preserve"> </w:t>
      </w:r>
      <w:r w:rsidR="00D21B3B" w:rsidRPr="00475BA6">
        <w:rPr>
          <w:rFonts w:ascii="Arial" w:hAnsi="Arial" w:cs="Arial"/>
          <w:color w:val="auto"/>
          <w:sz w:val="20"/>
          <w:szCs w:val="20"/>
        </w:rPr>
        <w:t xml:space="preserve">2022 </w:t>
      </w:r>
      <w:r w:rsidR="004B6696" w:rsidRPr="00475BA6">
        <w:rPr>
          <w:rFonts w:ascii="Arial" w:hAnsi="Arial" w:cs="Arial"/>
          <w:color w:val="auto"/>
          <w:sz w:val="20"/>
          <w:szCs w:val="20"/>
        </w:rPr>
        <w:t xml:space="preserve">mit 305.000 m² </w:t>
      </w:r>
      <w:r w:rsidR="00D21B3B" w:rsidRPr="00475BA6">
        <w:rPr>
          <w:rFonts w:ascii="Arial" w:hAnsi="Arial" w:cs="Arial"/>
          <w:color w:val="auto"/>
          <w:sz w:val="20"/>
          <w:szCs w:val="20"/>
        </w:rPr>
        <w:t xml:space="preserve">das zweithöchste </w:t>
      </w:r>
      <w:r w:rsidR="00287506" w:rsidRPr="00475BA6">
        <w:rPr>
          <w:rFonts w:ascii="Arial" w:hAnsi="Arial" w:cs="Arial"/>
          <w:color w:val="auto"/>
          <w:sz w:val="20"/>
          <w:szCs w:val="20"/>
        </w:rPr>
        <w:t>Halbjahreserg</w:t>
      </w:r>
      <w:r w:rsidR="00475BA6" w:rsidRPr="00475BA6">
        <w:rPr>
          <w:rFonts w:ascii="Arial" w:hAnsi="Arial" w:cs="Arial"/>
          <w:color w:val="auto"/>
          <w:sz w:val="20"/>
          <w:szCs w:val="20"/>
        </w:rPr>
        <w:t>e</w:t>
      </w:r>
      <w:r w:rsidR="00287506" w:rsidRPr="00475BA6">
        <w:rPr>
          <w:rFonts w:ascii="Arial" w:hAnsi="Arial" w:cs="Arial"/>
          <w:color w:val="auto"/>
          <w:sz w:val="20"/>
          <w:szCs w:val="20"/>
        </w:rPr>
        <w:t xml:space="preserve">bnis </w:t>
      </w:r>
      <w:r w:rsidR="00D21B3B" w:rsidRPr="00475BA6">
        <w:rPr>
          <w:rFonts w:ascii="Arial" w:hAnsi="Arial" w:cs="Arial"/>
          <w:color w:val="auto"/>
          <w:sz w:val="20"/>
          <w:szCs w:val="20"/>
        </w:rPr>
        <w:t xml:space="preserve">nach 310.000 m² im Jahr 2019 vorgelegt. Der Büroflächenumsatz im 2. Quartal </w:t>
      </w:r>
      <w:r w:rsidR="004B6696" w:rsidRPr="00475BA6">
        <w:rPr>
          <w:rFonts w:ascii="Arial" w:hAnsi="Arial" w:cs="Arial"/>
          <w:color w:val="auto"/>
          <w:sz w:val="20"/>
          <w:szCs w:val="20"/>
        </w:rPr>
        <w:t xml:space="preserve">betrug </w:t>
      </w:r>
      <w:r w:rsidR="00D21B3B" w:rsidRPr="00475BA6">
        <w:rPr>
          <w:rFonts w:ascii="Arial" w:hAnsi="Arial" w:cs="Arial"/>
          <w:color w:val="auto"/>
          <w:sz w:val="20"/>
          <w:szCs w:val="20"/>
        </w:rPr>
        <w:t>170</w:t>
      </w:r>
      <w:r w:rsidR="009A0E66" w:rsidRPr="00475BA6">
        <w:rPr>
          <w:rFonts w:ascii="Arial" w:hAnsi="Arial" w:cs="Arial"/>
          <w:color w:val="auto"/>
          <w:sz w:val="20"/>
          <w:szCs w:val="20"/>
        </w:rPr>
        <w:t>.000 m²</w:t>
      </w:r>
      <w:r w:rsidR="00D21B3B" w:rsidRPr="00475BA6">
        <w:rPr>
          <w:rFonts w:ascii="Arial" w:hAnsi="Arial" w:cs="Arial"/>
          <w:color w:val="auto"/>
          <w:sz w:val="20"/>
          <w:szCs w:val="20"/>
        </w:rPr>
        <w:t xml:space="preserve">. </w:t>
      </w:r>
      <w:r w:rsidR="00F23BDE" w:rsidRPr="00475BA6">
        <w:rPr>
          <w:rFonts w:ascii="Arial" w:hAnsi="Arial" w:cs="Arial"/>
          <w:i/>
          <w:color w:val="auto"/>
          <w:sz w:val="20"/>
          <w:szCs w:val="20"/>
        </w:rPr>
        <w:t>„</w:t>
      </w:r>
      <w:r w:rsidR="00475BA6" w:rsidRPr="00475BA6">
        <w:rPr>
          <w:rFonts w:ascii="Arial" w:hAnsi="Arial" w:cs="Arial"/>
          <w:i/>
          <w:color w:val="auto"/>
          <w:sz w:val="20"/>
          <w:szCs w:val="20"/>
        </w:rPr>
        <w:t>Viele Unternehmen und auch Behörden haben ihre Anforderungsprofile für zukunftsweisende Arbeitskonzepte angepasst und treffen nun ihre Anmietungsentscheidungen.</w:t>
      </w:r>
      <w:r w:rsidR="00F23BDE" w:rsidRPr="00475BA6">
        <w:rPr>
          <w:rFonts w:ascii="Arial" w:hAnsi="Arial" w:cs="Arial"/>
          <w:i/>
          <w:color w:val="auto"/>
          <w:sz w:val="20"/>
          <w:szCs w:val="20"/>
        </w:rPr>
        <w:t xml:space="preserve"> D</w:t>
      </w:r>
      <w:r w:rsidR="00BE3639" w:rsidRPr="00475BA6">
        <w:rPr>
          <w:rFonts w:ascii="Arial" w:hAnsi="Arial" w:cs="Arial"/>
          <w:i/>
          <w:color w:val="auto"/>
          <w:sz w:val="20"/>
          <w:szCs w:val="20"/>
        </w:rPr>
        <w:t>amit ist d</w:t>
      </w:r>
      <w:r w:rsidR="00F23BDE" w:rsidRPr="00475BA6">
        <w:rPr>
          <w:rFonts w:ascii="Arial" w:hAnsi="Arial" w:cs="Arial"/>
          <w:i/>
          <w:color w:val="auto"/>
          <w:sz w:val="20"/>
          <w:szCs w:val="20"/>
        </w:rPr>
        <w:t>er Hamburger Büro</w:t>
      </w:r>
      <w:r w:rsidR="00713A47" w:rsidRPr="00475BA6">
        <w:rPr>
          <w:rFonts w:ascii="Arial" w:hAnsi="Arial" w:cs="Arial"/>
          <w:i/>
          <w:color w:val="auto"/>
          <w:sz w:val="20"/>
          <w:szCs w:val="20"/>
        </w:rPr>
        <w:t>vermietungs</w:t>
      </w:r>
      <w:r w:rsidR="00F23BDE" w:rsidRPr="00475BA6">
        <w:rPr>
          <w:rFonts w:ascii="Arial" w:hAnsi="Arial" w:cs="Arial"/>
          <w:i/>
          <w:color w:val="auto"/>
          <w:sz w:val="20"/>
          <w:szCs w:val="20"/>
        </w:rPr>
        <w:t xml:space="preserve">markt wieder </w:t>
      </w:r>
      <w:r w:rsidR="00660780">
        <w:rPr>
          <w:rFonts w:ascii="Arial" w:hAnsi="Arial" w:cs="Arial"/>
          <w:i/>
          <w:color w:val="auto"/>
          <w:sz w:val="20"/>
          <w:szCs w:val="20"/>
        </w:rPr>
        <w:t>im Aufwind</w:t>
      </w:r>
      <w:r w:rsidR="00F23BDE" w:rsidRPr="00475BA6">
        <w:rPr>
          <w:rFonts w:ascii="Arial" w:hAnsi="Arial" w:cs="Arial"/>
          <w:i/>
          <w:color w:val="auto"/>
          <w:sz w:val="20"/>
          <w:szCs w:val="20"/>
        </w:rPr>
        <w:t>“,</w:t>
      </w:r>
      <w:r w:rsidR="00F23BDE" w:rsidRPr="00475BA6">
        <w:rPr>
          <w:rFonts w:ascii="Arial" w:hAnsi="Arial" w:cs="Arial"/>
          <w:color w:val="auto"/>
          <w:sz w:val="20"/>
          <w:szCs w:val="20"/>
        </w:rPr>
        <w:t xml:space="preserve"> resümiert Sprecher der Geschäftsführung </w:t>
      </w:r>
      <w:r w:rsidR="00F23BDE" w:rsidRPr="00475BA6">
        <w:rPr>
          <w:rFonts w:ascii="Arial" w:hAnsi="Arial" w:cs="Arial"/>
          <w:b/>
          <w:color w:val="auto"/>
          <w:sz w:val="20"/>
          <w:szCs w:val="20"/>
        </w:rPr>
        <w:t>Andreas Rehberg</w:t>
      </w:r>
      <w:r w:rsidR="00F23BDE" w:rsidRPr="00475BA6">
        <w:rPr>
          <w:rFonts w:ascii="Arial" w:hAnsi="Arial" w:cs="Arial"/>
          <w:color w:val="auto"/>
          <w:sz w:val="20"/>
          <w:szCs w:val="20"/>
        </w:rPr>
        <w:t xml:space="preserve"> von </w:t>
      </w:r>
      <w:r w:rsidR="00697AA1" w:rsidRPr="00475BA6">
        <w:rPr>
          <w:rFonts w:ascii="Arial" w:hAnsi="Arial" w:cs="Arial"/>
          <w:color w:val="auto"/>
          <w:sz w:val="20"/>
          <w:szCs w:val="20"/>
        </w:rPr>
        <w:t xml:space="preserve">GPP-Mitglied </w:t>
      </w:r>
      <w:r w:rsidR="00F23BDE" w:rsidRPr="00475BA6">
        <w:rPr>
          <w:rFonts w:ascii="Arial" w:hAnsi="Arial" w:cs="Arial"/>
          <w:color w:val="auto"/>
          <w:sz w:val="20"/>
          <w:szCs w:val="20"/>
        </w:rPr>
        <w:t>Grossmann &amp; Berger die Dynamik.</w:t>
      </w:r>
      <w:r w:rsidR="00475BA6" w:rsidRPr="00475BA6">
        <w:rPr>
          <w:rFonts w:ascii="Arial" w:hAnsi="Arial" w:cs="Arial"/>
          <w:color w:val="auto"/>
          <w:sz w:val="20"/>
          <w:szCs w:val="20"/>
        </w:rPr>
        <w:t xml:space="preserve"> Allerdings bergen der Ukraine-Krieg, die unterbrochenen Lieferketten, die gestiegene Inflation und insbesondere die Gefahr einer Energiekrise ein Risiko für die Wirtschaft und damit auch für </w:t>
      </w:r>
      <w:r w:rsidR="00475BA6">
        <w:rPr>
          <w:rFonts w:ascii="Arial" w:hAnsi="Arial" w:cs="Arial"/>
          <w:color w:val="auto"/>
          <w:sz w:val="20"/>
          <w:szCs w:val="20"/>
        </w:rPr>
        <w:t>den</w:t>
      </w:r>
      <w:r w:rsidR="00475BA6" w:rsidRPr="00475BA6">
        <w:rPr>
          <w:rFonts w:ascii="Arial" w:hAnsi="Arial" w:cs="Arial"/>
          <w:color w:val="auto"/>
          <w:sz w:val="20"/>
          <w:szCs w:val="20"/>
        </w:rPr>
        <w:t xml:space="preserve"> Büro</w:t>
      </w:r>
      <w:r w:rsidR="00475BA6">
        <w:rPr>
          <w:rFonts w:ascii="Arial" w:hAnsi="Arial" w:cs="Arial"/>
          <w:color w:val="auto"/>
          <w:sz w:val="20"/>
          <w:szCs w:val="20"/>
        </w:rPr>
        <w:t>vermietungs</w:t>
      </w:r>
      <w:r w:rsidR="00475BA6" w:rsidRPr="00475BA6">
        <w:rPr>
          <w:rFonts w:ascii="Arial" w:hAnsi="Arial" w:cs="Arial"/>
          <w:color w:val="auto"/>
          <w:sz w:val="20"/>
          <w:szCs w:val="20"/>
        </w:rPr>
        <w:t xml:space="preserve">markt. Aufgrund des hohen </w:t>
      </w:r>
      <w:proofErr w:type="spellStart"/>
      <w:r w:rsidR="00475BA6" w:rsidRPr="00475BA6">
        <w:rPr>
          <w:rFonts w:ascii="Arial" w:hAnsi="Arial" w:cs="Arial"/>
          <w:color w:val="auto"/>
          <w:sz w:val="20"/>
          <w:szCs w:val="20"/>
        </w:rPr>
        <w:t>Gesuchsvolumens</w:t>
      </w:r>
      <w:proofErr w:type="spellEnd"/>
      <w:r w:rsidR="00475BA6" w:rsidRPr="00475BA6">
        <w:rPr>
          <w:rFonts w:ascii="Arial" w:hAnsi="Arial" w:cs="Arial"/>
          <w:color w:val="auto"/>
          <w:sz w:val="20"/>
          <w:szCs w:val="20"/>
        </w:rPr>
        <w:t xml:space="preserve"> erscheint </w:t>
      </w:r>
      <w:r w:rsidR="00475BA6">
        <w:rPr>
          <w:rFonts w:ascii="Arial" w:hAnsi="Arial" w:cs="Arial"/>
          <w:color w:val="auto"/>
          <w:sz w:val="20"/>
          <w:szCs w:val="20"/>
        </w:rPr>
        <w:t xml:space="preserve">aktuell dennoch </w:t>
      </w:r>
      <w:r w:rsidR="00475BA6" w:rsidRPr="00475BA6">
        <w:rPr>
          <w:rFonts w:ascii="Arial" w:hAnsi="Arial" w:cs="Arial"/>
          <w:color w:val="auto"/>
          <w:sz w:val="20"/>
          <w:szCs w:val="20"/>
        </w:rPr>
        <w:t xml:space="preserve">ein Jahresergebnis </w:t>
      </w:r>
      <w:r w:rsidR="001429D0">
        <w:rPr>
          <w:rFonts w:ascii="Arial" w:hAnsi="Arial" w:cs="Arial"/>
          <w:color w:val="auto"/>
          <w:sz w:val="20"/>
          <w:szCs w:val="20"/>
        </w:rPr>
        <w:t>um</w:t>
      </w:r>
      <w:r w:rsidR="001429D0" w:rsidRPr="00475BA6">
        <w:rPr>
          <w:rFonts w:ascii="Arial" w:hAnsi="Arial" w:cs="Arial"/>
          <w:color w:val="auto"/>
          <w:sz w:val="20"/>
          <w:szCs w:val="20"/>
        </w:rPr>
        <w:t xml:space="preserve"> 550.000 m² </w:t>
      </w:r>
      <w:r w:rsidR="001429D0">
        <w:rPr>
          <w:rFonts w:ascii="Arial" w:hAnsi="Arial" w:cs="Arial"/>
          <w:color w:val="auto"/>
          <w:sz w:val="20"/>
          <w:szCs w:val="20"/>
        </w:rPr>
        <w:t>wie im Vorkrisenjahr</w:t>
      </w:r>
      <w:r w:rsidR="00475BA6" w:rsidRPr="00475BA6">
        <w:rPr>
          <w:rFonts w:ascii="Arial" w:hAnsi="Arial" w:cs="Arial"/>
          <w:color w:val="auto"/>
          <w:sz w:val="20"/>
          <w:szCs w:val="20"/>
        </w:rPr>
        <w:t xml:space="preserve"> 2019 erreichbar.</w:t>
      </w:r>
    </w:p>
    <w:p w14:paraId="0E0F7BA0" w14:textId="77777777" w:rsidR="00475BA6" w:rsidRPr="00475BA6" w:rsidRDefault="00475BA6" w:rsidP="00475BA6">
      <w:pPr>
        <w:pStyle w:val="FliesstextNL"/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</w:p>
    <w:p w14:paraId="7491727E" w14:textId="4ACA1A25" w:rsidR="001533C6" w:rsidRDefault="001533C6" w:rsidP="001533C6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0AE24469" w14:textId="7B240034" w:rsidR="001533C6" w:rsidRDefault="00CD4CE5" w:rsidP="001533C6">
      <w:pPr>
        <w:pStyle w:val="Listenabsatz"/>
        <w:numPr>
          <w:ilvl w:val="0"/>
          <w:numId w:val="16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Die </w:t>
      </w:r>
      <w:r w:rsidRPr="00660780">
        <w:rPr>
          <w:rFonts w:ascii="Arial" w:hAnsi="Arial" w:cs="Arial"/>
          <w:sz w:val="20"/>
          <w:szCs w:val="20"/>
          <w:u w:val="single"/>
        </w:rPr>
        <w:t xml:space="preserve">Zahl der </w:t>
      </w:r>
      <w:r w:rsidR="005111DD" w:rsidRPr="00660780">
        <w:rPr>
          <w:rFonts w:ascii="Arial" w:hAnsi="Arial" w:cs="Arial"/>
          <w:sz w:val="20"/>
          <w:szCs w:val="20"/>
          <w:u w:val="single"/>
        </w:rPr>
        <w:t>Abschlüsse</w:t>
      </w:r>
      <w:r w:rsidR="005111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über 5.000 m² </w:t>
      </w:r>
      <w:r w:rsidR="00353937">
        <w:rPr>
          <w:rFonts w:ascii="Arial" w:hAnsi="Arial" w:cs="Arial"/>
          <w:sz w:val="20"/>
          <w:szCs w:val="20"/>
        </w:rPr>
        <w:t>stieg</w:t>
      </w:r>
      <w:r>
        <w:rPr>
          <w:rFonts w:ascii="Arial" w:hAnsi="Arial" w:cs="Arial"/>
          <w:sz w:val="20"/>
          <w:szCs w:val="20"/>
        </w:rPr>
        <w:t xml:space="preserve"> im Jahresvergleich von sieben auf 13. </w:t>
      </w:r>
      <w:r w:rsidR="008F423B">
        <w:rPr>
          <w:rFonts w:ascii="Arial" w:hAnsi="Arial" w:cs="Arial"/>
          <w:sz w:val="20"/>
          <w:szCs w:val="20"/>
        </w:rPr>
        <w:t xml:space="preserve">Der Anteil dieses Segments am Flächenumsatz betrug Ende Juni 39 %. </w:t>
      </w:r>
      <w:r w:rsidR="00353937">
        <w:rPr>
          <w:rFonts w:ascii="Arial" w:hAnsi="Arial" w:cs="Arial"/>
          <w:sz w:val="20"/>
          <w:szCs w:val="20"/>
        </w:rPr>
        <w:t xml:space="preserve">Kein anderes </w:t>
      </w:r>
      <w:r w:rsidR="00353937" w:rsidRPr="00A72D61">
        <w:rPr>
          <w:rFonts w:ascii="Arial" w:hAnsi="Arial" w:cs="Arial"/>
          <w:sz w:val="20"/>
          <w:szCs w:val="20"/>
          <w:u w:val="single"/>
        </w:rPr>
        <w:t>Flächensegment</w:t>
      </w:r>
      <w:r w:rsidR="00353937">
        <w:rPr>
          <w:rFonts w:ascii="Arial" w:hAnsi="Arial" w:cs="Arial"/>
          <w:sz w:val="20"/>
          <w:szCs w:val="20"/>
        </w:rPr>
        <w:t xml:space="preserve"> </w:t>
      </w:r>
      <w:r w:rsidR="00EE7304">
        <w:rPr>
          <w:rFonts w:ascii="Arial" w:hAnsi="Arial" w:cs="Arial"/>
          <w:sz w:val="20"/>
          <w:szCs w:val="20"/>
        </w:rPr>
        <w:t>erreichte</w:t>
      </w:r>
      <w:r w:rsidR="00353937">
        <w:rPr>
          <w:rFonts w:ascii="Arial" w:hAnsi="Arial" w:cs="Arial"/>
          <w:sz w:val="20"/>
          <w:szCs w:val="20"/>
        </w:rPr>
        <w:t xml:space="preserve"> einen Anteil </w:t>
      </w:r>
      <w:r w:rsidR="00A72D61">
        <w:rPr>
          <w:rFonts w:ascii="Arial" w:hAnsi="Arial" w:cs="Arial"/>
          <w:sz w:val="20"/>
          <w:szCs w:val="20"/>
        </w:rPr>
        <w:t>über</w:t>
      </w:r>
      <w:r w:rsidR="00353937">
        <w:rPr>
          <w:rFonts w:ascii="Arial" w:hAnsi="Arial" w:cs="Arial"/>
          <w:sz w:val="20"/>
          <w:szCs w:val="20"/>
        </w:rPr>
        <w:t xml:space="preserve"> 20 %. </w:t>
      </w:r>
      <w:r w:rsidR="008F423B">
        <w:rPr>
          <w:rFonts w:ascii="Arial" w:hAnsi="Arial" w:cs="Arial"/>
          <w:sz w:val="20"/>
          <w:szCs w:val="20"/>
        </w:rPr>
        <w:t>Abschlüsse über 10.000 m² gab es zwei nach dreien im 1. Halbjahr 2021.</w:t>
      </w:r>
    </w:p>
    <w:p w14:paraId="0BDBF362" w14:textId="271DFA66" w:rsidR="00EE7304" w:rsidRPr="00EE7304" w:rsidRDefault="008F423B" w:rsidP="00EE7304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304">
        <w:rPr>
          <w:rFonts w:ascii="Arial" w:hAnsi="Arial" w:cs="Arial"/>
          <w:sz w:val="20"/>
          <w:szCs w:val="20"/>
        </w:rPr>
        <w:t xml:space="preserve">Die Haspa gab im Mai die Anmietung von 30.800 m² Bürofläche im „Deutschlandhaus“ bekannt, um hier ihre drei Bürostandorte </w:t>
      </w:r>
      <w:proofErr w:type="spellStart"/>
      <w:r w:rsidRPr="00EE7304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Adolphsplatz</w:t>
      </w:r>
      <w:proofErr w:type="spellEnd"/>
      <w:r w:rsidRPr="00EE7304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, Wikingerweg und Börsenbrücke</w:t>
      </w:r>
      <w:r w:rsidRPr="00EE7304">
        <w:rPr>
          <w:rFonts w:ascii="Arial" w:hAnsi="Arial" w:cs="Arial"/>
          <w:sz w:val="20"/>
          <w:szCs w:val="20"/>
        </w:rPr>
        <w:t xml:space="preserve"> zusammenzuführen. </w:t>
      </w:r>
      <w:r w:rsidR="001C61D7">
        <w:rPr>
          <w:rFonts w:ascii="Arial" w:hAnsi="Arial" w:cs="Arial"/>
          <w:sz w:val="20"/>
          <w:szCs w:val="20"/>
        </w:rPr>
        <w:t>Dies war der</w:t>
      </w:r>
      <w:r w:rsidRPr="00EE7304">
        <w:rPr>
          <w:rFonts w:ascii="Arial" w:hAnsi="Arial" w:cs="Arial"/>
          <w:sz w:val="20"/>
          <w:szCs w:val="20"/>
        </w:rPr>
        <w:t xml:space="preserve"> </w:t>
      </w:r>
      <w:r w:rsidR="005111DD">
        <w:rPr>
          <w:rFonts w:ascii="Arial" w:hAnsi="Arial" w:cs="Arial"/>
          <w:sz w:val="20"/>
          <w:szCs w:val="20"/>
        </w:rPr>
        <w:t xml:space="preserve">bisher </w:t>
      </w:r>
      <w:r w:rsidR="001C61D7" w:rsidRPr="002916A0">
        <w:rPr>
          <w:rFonts w:ascii="Arial" w:hAnsi="Arial" w:cs="Arial"/>
          <w:sz w:val="20"/>
          <w:szCs w:val="20"/>
          <w:u w:val="single"/>
        </w:rPr>
        <w:t>größte</w:t>
      </w:r>
      <w:r w:rsidR="00EE7304" w:rsidRPr="002916A0">
        <w:rPr>
          <w:rFonts w:ascii="Arial" w:hAnsi="Arial" w:cs="Arial"/>
          <w:sz w:val="20"/>
          <w:szCs w:val="20"/>
          <w:u w:val="single"/>
        </w:rPr>
        <w:t xml:space="preserve"> Abschluss</w:t>
      </w:r>
      <w:r w:rsidR="00EE7304" w:rsidRPr="00EE7304">
        <w:rPr>
          <w:rFonts w:ascii="Arial" w:hAnsi="Arial" w:cs="Arial"/>
          <w:sz w:val="20"/>
          <w:szCs w:val="20"/>
        </w:rPr>
        <w:t xml:space="preserve"> des Jahres</w:t>
      </w:r>
      <w:r w:rsidRPr="00EE7304">
        <w:rPr>
          <w:rFonts w:ascii="Arial" w:hAnsi="Arial" w:cs="Arial"/>
          <w:sz w:val="20"/>
          <w:szCs w:val="20"/>
        </w:rPr>
        <w:t>.</w:t>
      </w:r>
    </w:p>
    <w:p w14:paraId="0FC77410" w14:textId="250460C5" w:rsidR="00E90DFD" w:rsidRDefault="00EE7304" w:rsidP="00EE7304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7304">
        <w:rPr>
          <w:rFonts w:ascii="Arial" w:hAnsi="Arial" w:cs="Arial"/>
          <w:i/>
          <w:sz w:val="20"/>
          <w:szCs w:val="20"/>
        </w:rPr>
        <w:t>„</w:t>
      </w:r>
      <w:r>
        <w:rPr>
          <w:rFonts w:ascii="Arial" w:hAnsi="Arial" w:cs="Arial"/>
          <w:i/>
          <w:sz w:val="20"/>
          <w:szCs w:val="20"/>
        </w:rPr>
        <w:t xml:space="preserve">Hamburger </w:t>
      </w:r>
      <w:r w:rsidRPr="00EE7304">
        <w:rPr>
          <w:rFonts w:ascii="Arial" w:hAnsi="Arial" w:cs="Arial"/>
          <w:i/>
          <w:sz w:val="20"/>
          <w:szCs w:val="20"/>
        </w:rPr>
        <w:t xml:space="preserve">Firmen suchen hauptsächlich Neubauflächen in zentraler Lage. </w:t>
      </w:r>
      <w:r w:rsidR="00D24B4C">
        <w:rPr>
          <w:rFonts w:ascii="Arial" w:hAnsi="Arial" w:cs="Arial"/>
          <w:i/>
          <w:sz w:val="20"/>
          <w:szCs w:val="20"/>
        </w:rPr>
        <w:t>So</w:t>
      </w:r>
      <w:r w:rsidRPr="00EE7304">
        <w:rPr>
          <w:rFonts w:ascii="Arial" w:hAnsi="Arial" w:cs="Arial"/>
          <w:i/>
          <w:sz w:val="20"/>
          <w:szCs w:val="20"/>
        </w:rPr>
        <w:t xml:space="preserve"> entfiel</w:t>
      </w:r>
      <w:r w:rsidR="00E90DFD">
        <w:rPr>
          <w:rFonts w:ascii="Arial" w:hAnsi="Arial" w:cs="Arial"/>
          <w:i/>
          <w:sz w:val="20"/>
          <w:szCs w:val="20"/>
        </w:rPr>
        <w:t>en</w:t>
      </w:r>
      <w:r w:rsidRPr="00EE7304">
        <w:rPr>
          <w:rFonts w:ascii="Arial" w:hAnsi="Arial" w:cs="Arial"/>
          <w:i/>
          <w:sz w:val="20"/>
          <w:szCs w:val="20"/>
        </w:rPr>
        <w:t xml:space="preserve"> im ersten Halbjahr </w:t>
      </w:r>
      <w:r w:rsidR="00E90DFD">
        <w:rPr>
          <w:rFonts w:ascii="Arial" w:hAnsi="Arial" w:cs="Arial"/>
          <w:i/>
          <w:sz w:val="20"/>
          <w:szCs w:val="20"/>
        </w:rPr>
        <w:t>drei Viertel</w:t>
      </w:r>
      <w:r w:rsidRPr="00EE7304">
        <w:rPr>
          <w:rFonts w:ascii="Arial" w:hAnsi="Arial" w:cs="Arial"/>
          <w:i/>
          <w:sz w:val="20"/>
          <w:szCs w:val="20"/>
        </w:rPr>
        <w:t xml:space="preserve"> des Flächenumsatzes im Segment 2.000 bis 5.000 Quadratmeter auf Neubauprojekte und Revitalisierungen</w:t>
      </w:r>
      <w:r w:rsidR="00D24B4C">
        <w:rPr>
          <w:rFonts w:ascii="Arial" w:hAnsi="Arial" w:cs="Arial"/>
          <w:i/>
          <w:sz w:val="20"/>
          <w:szCs w:val="20"/>
        </w:rPr>
        <w:t xml:space="preserve"> zu entsprechenden Büromieten</w:t>
      </w:r>
      <w:r w:rsidRPr="00EE7304">
        <w:rPr>
          <w:rFonts w:ascii="Arial" w:hAnsi="Arial" w:cs="Arial"/>
          <w:i/>
          <w:sz w:val="20"/>
          <w:szCs w:val="20"/>
        </w:rPr>
        <w:t>“,</w:t>
      </w:r>
      <w:r w:rsidRPr="00EE73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konstatiert</w:t>
      </w:r>
      <w:r w:rsidRPr="00EE7304">
        <w:rPr>
          <w:rFonts w:ascii="Arial" w:hAnsi="Arial" w:cs="Arial"/>
          <w:sz w:val="20"/>
          <w:szCs w:val="20"/>
        </w:rPr>
        <w:t xml:space="preserve"> </w:t>
      </w:r>
      <w:r w:rsidRPr="00EE7304">
        <w:rPr>
          <w:rFonts w:ascii="Arial" w:hAnsi="Arial" w:cs="Arial"/>
          <w:b/>
          <w:sz w:val="20"/>
          <w:szCs w:val="20"/>
        </w:rPr>
        <w:t>Rehberg</w:t>
      </w:r>
      <w:r w:rsidRPr="00EE7304">
        <w:rPr>
          <w:rFonts w:ascii="Arial" w:hAnsi="Arial" w:cs="Arial"/>
          <w:sz w:val="20"/>
          <w:szCs w:val="20"/>
        </w:rPr>
        <w:t>.</w:t>
      </w:r>
    </w:p>
    <w:p w14:paraId="08E29E01" w14:textId="24816C00" w:rsidR="00EE7304" w:rsidRPr="00EE7304" w:rsidRDefault="00E90DFD" w:rsidP="00EE7304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Dieser Trend</w:t>
      </w:r>
      <w:r w:rsidR="00EE7304" w:rsidRPr="00EE7304">
        <w:rPr>
          <w:rFonts w:ascii="Arial" w:hAnsi="Arial" w:cs="Arial"/>
          <w:sz w:val="20"/>
          <w:szCs w:val="20"/>
        </w:rPr>
        <w:t xml:space="preserve"> erklärt den exorbitanten Sprung der </w:t>
      </w:r>
      <w:r w:rsidR="00EE7304" w:rsidRPr="002916A0">
        <w:rPr>
          <w:rFonts w:ascii="Arial" w:hAnsi="Arial" w:cs="Arial"/>
          <w:sz w:val="20"/>
          <w:szCs w:val="20"/>
          <w:u w:val="single"/>
        </w:rPr>
        <w:t>Durchschnittsmiete</w:t>
      </w:r>
      <w:r w:rsidR="00EE7304" w:rsidRPr="00EE7304">
        <w:rPr>
          <w:rFonts w:ascii="Arial" w:hAnsi="Arial" w:cs="Arial"/>
          <w:sz w:val="20"/>
          <w:szCs w:val="20"/>
        </w:rPr>
        <w:t xml:space="preserve"> um </w:t>
      </w:r>
      <w:r w:rsidR="002916A0">
        <w:rPr>
          <w:rFonts w:ascii="Arial" w:hAnsi="Arial" w:cs="Arial"/>
          <w:sz w:val="20"/>
          <w:szCs w:val="20"/>
        </w:rPr>
        <w:t>15 %</w:t>
      </w:r>
      <w:r w:rsidR="00EE7304" w:rsidRPr="00EE7304">
        <w:rPr>
          <w:rFonts w:ascii="Arial" w:hAnsi="Arial" w:cs="Arial"/>
          <w:sz w:val="20"/>
          <w:szCs w:val="20"/>
        </w:rPr>
        <w:t xml:space="preserve"> </w:t>
      </w:r>
      <w:r w:rsidR="002916A0">
        <w:rPr>
          <w:rFonts w:ascii="Arial" w:hAnsi="Arial" w:cs="Arial"/>
          <w:sz w:val="20"/>
          <w:szCs w:val="20"/>
        </w:rPr>
        <w:t>auf nun 20,6</w:t>
      </w:r>
      <w:r w:rsidR="00EE7304" w:rsidRPr="00EE7304">
        <w:rPr>
          <w:rFonts w:ascii="Arial" w:hAnsi="Arial" w:cs="Arial"/>
          <w:sz w:val="20"/>
          <w:szCs w:val="20"/>
        </w:rPr>
        <w:t>0 €/m²/Monat.</w:t>
      </w:r>
      <w:r w:rsidR="00D24B4C">
        <w:rPr>
          <w:rFonts w:ascii="Arial" w:hAnsi="Arial" w:cs="Arial"/>
          <w:sz w:val="20"/>
          <w:szCs w:val="20"/>
        </w:rPr>
        <w:t xml:space="preserve"> Nie zuvor hatte die Durchschnittsmiete die Schwelle von 20 </w:t>
      </w:r>
      <w:r w:rsidR="00D24B4C" w:rsidRPr="00EE7304">
        <w:rPr>
          <w:rFonts w:ascii="Arial" w:hAnsi="Arial" w:cs="Arial"/>
          <w:sz w:val="20"/>
          <w:szCs w:val="20"/>
        </w:rPr>
        <w:t>€/m²/Monat</w:t>
      </w:r>
      <w:r w:rsidR="00D84CB5">
        <w:rPr>
          <w:rFonts w:ascii="Arial" w:hAnsi="Arial" w:cs="Arial"/>
          <w:sz w:val="20"/>
          <w:szCs w:val="20"/>
        </w:rPr>
        <w:t xml:space="preserve"> überschritten</w:t>
      </w:r>
      <w:r w:rsidR="00D24B4C">
        <w:rPr>
          <w:rFonts w:ascii="Arial" w:hAnsi="Arial" w:cs="Arial"/>
          <w:sz w:val="20"/>
          <w:szCs w:val="20"/>
        </w:rPr>
        <w:t>.</w:t>
      </w:r>
      <w:r w:rsidR="003C21E0">
        <w:rPr>
          <w:rFonts w:ascii="Arial" w:hAnsi="Arial" w:cs="Arial"/>
          <w:sz w:val="20"/>
          <w:szCs w:val="20"/>
        </w:rPr>
        <w:t xml:space="preserve"> Mit einem Plus von knapp 5 % erreichte auch die </w:t>
      </w:r>
      <w:r w:rsidR="003C21E0" w:rsidRPr="003C21E0">
        <w:rPr>
          <w:rFonts w:ascii="Arial" w:hAnsi="Arial" w:cs="Arial"/>
          <w:sz w:val="20"/>
          <w:szCs w:val="20"/>
          <w:u w:val="single"/>
        </w:rPr>
        <w:t>Spitzenmiete</w:t>
      </w:r>
      <w:r w:rsidR="003C21E0">
        <w:rPr>
          <w:rFonts w:ascii="Arial" w:hAnsi="Arial" w:cs="Arial"/>
          <w:sz w:val="20"/>
          <w:szCs w:val="20"/>
        </w:rPr>
        <w:t xml:space="preserve"> mit 32,50 </w:t>
      </w:r>
      <w:r w:rsidR="003C21E0" w:rsidRPr="00EE7304">
        <w:rPr>
          <w:rFonts w:ascii="Arial" w:hAnsi="Arial" w:cs="Arial"/>
          <w:sz w:val="20"/>
          <w:szCs w:val="20"/>
        </w:rPr>
        <w:t>€/m²/Monat</w:t>
      </w:r>
      <w:r w:rsidR="003C21E0">
        <w:rPr>
          <w:rFonts w:ascii="Arial" w:hAnsi="Arial" w:cs="Arial"/>
          <w:sz w:val="20"/>
          <w:szCs w:val="20"/>
        </w:rPr>
        <w:t xml:space="preserve"> ein neues Hoch.</w:t>
      </w:r>
    </w:p>
    <w:p w14:paraId="035DBEF4" w14:textId="6ED6C33A" w:rsidR="00642904" w:rsidRDefault="00D84CB5" w:rsidP="001533C6">
      <w:pPr>
        <w:pStyle w:val="Listenabsatz"/>
        <w:numPr>
          <w:ilvl w:val="0"/>
          <w:numId w:val="16"/>
        </w:num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Angesichts der Beliebtheit zentraler Lagen konzentrierten sich die Marktaktivitäten auf die </w:t>
      </w:r>
      <w:r w:rsidRPr="00D84CB5">
        <w:rPr>
          <w:rFonts w:ascii="Arial" w:hAnsi="Arial" w:cs="Arial"/>
          <w:sz w:val="20"/>
          <w:szCs w:val="20"/>
          <w:u w:val="single"/>
        </w:rPr>
        <w:t>Teilmärkte</w:t>
      </w:r>
      <w:r>
        <w:rPr>
          <w:rFonts w:ascii="Arial" w:hAnsi="Arial" w:cs="Arial"/>
          <w:sz w:val="20"/>
          <w:szCs w:val="20"/>
        </w:rPr>
        <w:t xml:space="preserve"> City und </w:t>
      </w:r>
      <w:proofErr w:type="spellStart"/>
      <w:r>
        <w:rPr>
          <w:rFonts w:ascii="Arial" w:hAnsi="Arial" w:cs="Arial"/>
          <w:sz w:val="20"/>
          <w:szCs w:val="20"/>
        </w:rPr>
        <w:t>HafenCity</w:t>
      </w:r>
      <w:proofErr w:type="spellEnd"/>
      <w:r>
        <w:rPr>
          <w:rFonts w:ascii="Arial" w:hAnsi="Arial" w:cs="Arial"/>
          <w:sz w:val="20"/>
          <w:szCs w:val="20"/>
        </w:rPr>
        <w:t xml:space="preserve"> mit Anteilen am Flächenumsatz von 35 % bzw. 21 %. Kein anderer Teilmarkt erreichte einen zweistelligen Anteil. </w:t>
      </w:r>
      <w:r w:rsidR="005111DD">
        <w:rPr>
          <w:rFonts w:ascii="Arial" w:hAnsi="Arial" w:cs="Arial"/>
          <w:sz w:val="20"/>
          <w:szCs w:val="20"/>
        </w:rPr>
        <w:t xml:space="preserve">Neun </w:t>
      </w:r>
      <w:r>
        <w:rPr>
          <w:rFonts w:ascii="Arial" w:hAnsi="Arial" w:cs="Arial"/>
          <w:sz w:val="20"/>
          <w:szCs w:val="20"/>
        </w:rPr>
        <w:t xml:space="preserve">der 13 größten Abschlüsse über 5.000 m² entfielen auf </w:t>
      </w:r>
      <w:r w:rsidR="00CF2280">
        <w:rPr>
          <w:rFonts w:ascii="Arial" w:hAnsi="Arial" w:cs="Arial"/>
          <w:sz w:val="20"/>
          <w:szCs w:val="20"/>
        </w:rPr>
        <w:t xml:space="preserve">diese </w:t>
      </w:r>
      <w:r>
        <w:rPr>
          <w:rFonts w:ascii="Arial" w:hAnsi="Arial" w:cs="Arial"/>
          <w:sz w:val="20"/>
          <w:szCs w:val="20"/>
        </w:rPr>
        <w:t xml:space="preserve">beiden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Teilregionen.</w:t>
      </w:r>
    </w:p>
    <w:p w14:paraId="650993EF" w14:textId="47F6C50A" w:rsidR="003D512D" w:rsidRPr="001429D0" w:rsidRDefault="005B4202" w:rsidP="00A52CBD">
      <w:pPr>
        <w:pStyle w:val="Listenabsatz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29D0">
        <w:rPr>
          <w:rFonts w:ascii="Arial" w:hAnsi="Arial" w:cs="Arial"/>
          <w:sz w:val="20"/>
          <w:szCs w:val="20"/>
        </w:rPr>
        <w:t>D</w:t>
      </w:r>
      <w:r w:rsidR="00D71987" w:rsidRPr="001429D0">
        <w:rPr>
          <w:rFonts w:ascii="Arial" w:hAnsi="Arial" w:cs="Arial"/>
          <w:sz w:val="20"/>
          <w:szCs w:val="20"/>
        </w:rPr>
        <w:t xml:space="preserve">ie </w:t>
      </w:r>
      <w:proofErr w:type="spellStart"/>
      <w:r w:rsidR="00D71987" w:rsidRPr="00A52CBD">
        <w:rPr>
          <w:rFonts w:ascii="Arial" w:hAnsi="Arial" w:cs="Arial"/>
          <w:sz w:val="20"/>
          <w:szCs w:val="20"/>
          <w:u w:val="single"/>
        </w:rPr>
        <w:t>Leerstandsquote</w:t>
      </w:r>
      <w:proofErr w:type="spellEnd"/>
      <w:r w:rsidR="00D71987" w:rsidRPr="001429D0">
        <w:rPr>
          <w:rFonts w:ascii="Arial" w:hAnsi="Arial" w:cs="Arial"/>
          <w:sz w:val="20"/>
          <w:szCs w:val="20"/>
        </w:rPr>
        <w:t xml:space="preserve"> </w:t>
      </w:r>
      <w:r w:rsidR="00E06E94" w:rsidRPr="001429D0">
        <w:rPr>
          <w:rFonts w:ascii="Arial" w:hAnsi="Arial" w:cs="Arial"/>
          <w:sz w:val="20"/>
          <w:szCs w:val="20"/>
        </w:rPr>
        <w:t xml:space="preserve">blieb </w:t>
      </w:r>
      <w:r w:rsidRPr="001429D0">
        <w:rPr>
          <w:rFonts w:ascii="Arial" w:hAnsi="Arial" w:cs="Arial"/>
          <w:sz w:val="20"/>
          <w:szCs w:val="20"/>
        </w:rPr>
        <w:t xml:space="preserve">binnen Jahresfrist </w:t>
      </w:r>
      <w:r w:rsidR="00D71987" w:rsidRPr="001429D0">
        <w:rPr>
          <w:rFonts w:ascii="Arial" w:hAnsi="Arial" w:cs="Arial"/>
          <w:sz w:val="20"/>
          <w:szCs w:val="20"/>
        </w:rPr>
        <w:t>unverändert bei 3,8 %.</w:t>
      </w:r>
      <w:r w:rsidR="0025679F" w:rsidRPr="001429D0">
        <w:rPr>
          <w:rFonts w:ascii="Arial" w:hAnsi="Arial" w:cs="Arial"/>
          <w:sz w:val="20"/>
          <w:szCs w:val="20"/>
        </w:rPr>
        <w:t xml:space="preserve"> </w:t>
      </w:r>
      <w:r w:rsidR="00D71987" w:rsidRPr="00A52CBD">
        <w:rPr>
          <w:rFonts w:ascii="Arial" w:hAnsi="Arial" w:cs="Arial"/>
          <w:i/>
          <w:sz w:val="20"/>
          <w:szCs w:val="20"/>
        </w:rPr>
        <w:t xml:space="preserve">„Da </w:t>
      </w:r>
      <w:r w:rsidRPr="00A52CBD">
        <w:rPr>
          <w:rFonts w:ascii="Arial" w:hAnsi="Arial" w:cs="Arial"/>
          <w:i/>
          <w:sz w:val="20"/>
          <w:szCs w:val="20"/>
        </w:rPr>
        <w:t xml:space="preserve">angesichts einer </w:t>
      </w:r>
      <w:r w:rsidRPr="00A52CBD">
        <w:rPr>
          <w:rFonts w:ascii="Arial" w:hAnsi="Arial" w:cs="Arial"/>
          <w:i/>
          <w:sz w:val="20"/>
          <w:szCs w:val="20"/>
          <w:u w:val="single"/>
        </w:rPr>
        <w:t>Vorvermietungsquote</w:t>
      </w:r>
      <w:r w:rsidRPr="00A52CBD">
        <w:rPr>
          <w:rFonts w:ascii="Arial" w:hAnsi="Arial" w:cs="Arial"/>
          <w:i/>
          <w:sz w:val="20"/>
          <w:szCs w:val="20"/>
        </w:rPr>
        <w:t xml:space="preserve"> von 76 Prozent für 2022 und 2023 </w:t>
      </w:r>
      <w:r w:rsidR="00D71987" w:rsidRPr="00A52CBD">
        <w:rPr>
          <w:rFonts w:ascii="Arial" w:hAnsi="Arial" w:cs="Arial"/>
          <w:i/>
          <w:sz w:val="20"/>
          <w:szCs w:val="20"/>
        </w:rPr>
        <w:t>auch die noch im Bau befindlichen Büroprojekte gut vom Markt absorbiert werden und die Nachfrage erkennbar ho</w:t>
      </w:r>
      <w:r w:rsidRPr="00A52CBD">
        <w:rPr>
          <w:rFonts w:ascii="Arial" w:hAnsi="Arial" w:cs="Arial"/>
          <w:i/>
          <w:sz w:val="20"/>
          <w:szCs w:val="20"/>
        </w:rPr>
        <w:t>ch ist</w:t>
      </w:r>
      <w:r w:rsidR="00D71987" w:rsidRPr="00A52CBD">
        <w:rPr>
          <w:rFonts w:ascii="Arial" w:hAnsi="Arial" w:cs="Arial"/>
          <w:i/>
          <w:sz w:val="20"/>
          <w:szCs w:val="20"/>
        </w:rPr>
        <w:t>,</w:t>
      </w:r>
      <w:r w:rsidRPr="00A52CBD">
        <w:rPr>
          <w:rFonts w:ascii="Arial" w:hAnsi="Arial" w:cs="Arial"/>
          <w:i/>
          <w:sz w:val="20"/>
          <w:szCs w:val="20"/>
        </w:rPr>
        <w:t xml:space="preserve"> wird der Leerstand </w:t>
      </w:r>
      <w:r w:rsidR="00E06E94" w:rsidRPr="00A52CBD">
        <w:rPr>
          <w:rFonts w:ascii="Arial" w:hAnsi="Arial" w:cs="Arial"/>
          <w:i/>
          <w:sz w:val="20"/>
          <w:szCs w:val="20"/>
        </w:rPr>
        <w:t>im Neubausegment</w:t>
      </w:r>
      <w:r w:rsidRPr="00A52CBD">
        <w:rPr>
          <w:rFonts w:ascii="Arial" w:hAnsi="Arial" w:cs="Arial"/>
          <w:i/>
          <w:sz w:val="20"/>
          <w:szCs w:val="20"/>
        </w:rPr>
        <w:t xml:space="preserve"> nicht signifikant </w:t>
      </w:r>
      <w:r w:rsidR="00E70681" w:rsidRPr="00A52CBD">
        <w:rPr>
          <w:rFonts w:ascii="Arial" w:hAnsi="Arial" w:cs="Arial"/>
          <w:i/>
          <w:sz w:val="20"/>
          <w:szCs w:val="20"/>
        </w:rPr>
        <w:t>steigen</w:t>
      </w:r>
      <w:r w:rsidRPr="00A52CBD">
        <w:rPr>
          <w:rFonts w:ascii="Arial" w:hAnsi="Arial" w:cs="Arial"/>
          <w:i/>
          <w:sz w:val="20"/>
          <w:szCs w:val="20"/>
        </w:rPr>
        <w:t>“</w:t>
      </w:r>
      <w:r w:rsidRPr="00A52CBD">
        <w:rPr>
          <w:rFonts w:ascii="Arial" w:hAnsi="Arial" w:cs="Arial"/>
          <w:sz w:val="20"/>
          <w:szCs w:val="20"/>
        </w:rPr>
        <w:t>,</w:t>
      </w:r>
      <w:r w:rsidRPr="001429D0">
        <w:rPr>
          <w:rFonts w:ascii="Arial" w:hAnsi="Arial" w:cs="Arial"/>
          <w:sz w:val="20"/>
          <w:szCs w:val="20"/>
        </w:rPr>
        <w:t xml:space="preserve"> </w:t>
      </w:r>
      <w:r w:rsidRPr="001429D0">
        <w:rPr>
          <w:rFonts w:ascii="Arial" w:hAnsi="Arial" w:cs="Arial"/>
          <w:sz w:val="20"/>
          <w:szCs w:val="20"/>
        </w:rPr>
        <w:lastRenderedPageBreak/>
        <w:t xml:space="preserve">ist </w:t>
      </w:r>
      <w:r w:rsidRPr="00A52CBD">
        <w:rPr>
          <w:rFonts w:ascii="Arial" w:hAnsi="Arial" w:cs="Arial"/>
          <w:b/>
          <w:sz w:val="20"/>
          <w:szCs w:val="20"/>
        </w:rPr>
        <w:t>Rehberg</w:t>
      </w:r>
      <w:r w:rsidRPr="001429D0">
        <w:rPr>
          <w:rFonts w:ascii="Arial" w:hAnsi="Arial" w:cs="Arial"/>
          <w:sz w:val="20"/>
          <w:szCs w:val="20"/>
        </w:rPr>
        <w:t xml:space="preserve"> überzeugt.</w:t>
      </w:r>
      <w:r w:rsidR="00E06E94" w:rsidRPr="001429D0">
        <w:rPr>
          <w:rFonts w:ascii="Arial" w:hAnsi="Arial" w:cs="Arial"/>
          <w:sz w:val="20"/>
          <w:szCs w:val="20"/>
        </w:rPr>
        <w:t xml:space="preserve"> Eine Zunahme des Bestandsflächenangebots könnte allerdings</w:t>
      </w:r>
      <w:r w:rsidR="00D71987" w:rsidRPr="001429D0">
        <w:rPr>
          <w:rFonts w:ascii="Arial" w:hAnsi="Arial" w:cs="Arial"/>
          <w:sz w:val="20"/>
          <w:szCs w:val="20"/>
        </w:rPr>
        <w:t xml:space="preserve"> </w:t>
      </w:r>
      <w:r w:rsidR="00E06E94" w:rsidRPr="001429D0">
        <w:rPr>
          <w:rFonts w:ascii="Arial" w:hAnsi="Arial" w:cs="Arial"/>
          <w:sz w:val="20"/>
          <w:szCs w:val="20"/>
        </w:rPr>
        <w:t xml:space="preserve">nach aktuellen Berechnungen innerhalb der nächsten </w:t>
      </w:r>
      <w:r w:rsidR="001429D0">
        <w:rPr>
          <w:rFonts w:ascii="Arial" w:hAnsi="Arial" w:cs="Arial"/>
          <w:sz w:val="20"/>
          <w:szCs w:val="20"/>
        </w:rPr>
        <w:t>zwölf</w:t>
      </w:r>
      <w:r w:rsidR="00E06E94" w:rsidRPr="001429D0">
        <w:rPr>
          <w:rFonts w:ascii="Arial" w:hAnsi="Arial" w:cs="Arial"/>
          <w:sz w:val="20"/>
          <w:szCs w:val="20"/>
        </w:rPr>
        <w:t xml:space="preserve"> Monate zu einem Anstieg der L</w:t>
      </w:r>
      <w:r w:rsidR="00F67DD8" w:rsidRPr="001429D0">
        <w:rPr>
          <w:rFonts w:ascii="Arial" w:hAnsi="Arial" w:cs="Arial"/>
          <w:sz w:val="20"/>
          <w:szCs w:val="20"/>
        </w:rPr>
        <w:t>eerstandq</w:t>
      </w:r>
      <w:r w:rsidR="00E06E94" w:rsidRPr="001429D0">
        <w:rPr>
          <w:rFonts w:ascii="Arial" w:hAnsi="Arial" w:cs="Arial"/>
          <w:sz w:val="20"/>
          <w:szCs w:val="20"/>
        </w:rPr>
        <w:t xml:space="preserve">uote </w:t>
      </w:r>
      <w:r w:rsidR="00A52CBD">
        <w:rPr>
          <w:rFonts w:ascii="Arial" w:hAnsi="Arial" w:cs="Arial"/>
          <w:sz w:val="20"/>
          <w:szCs w:val="20"/>
        </w:rPr>
        <w:t>über</w:t>
      </w:r>
      <w:r w:rsidR="001429D0">
        <w:rPr>
          <w:rFonts w:ascii="Arial" w:hAnsi="Arial" w:cs="Arial"/>
          <w:sz w:val="20"/>
          <w:szCs w:val="20"/>
        </w:rPr>
        <w:t xml:space="preserve"> 4 % </w:t>
      </w:r>
      <w:r w:rsidR="00E06E94" w:rsidRPr="001429D0">
        <w:rPr>
          <w:rFonts w:ascii="Arial" w:hAnsi="Arial" w:cs="Arial"/>
          <w:sz w:val="20"/>
          <w:szCs w:val="20"/>
        </w:rPr>
        <w:t xml:space="preserve">führen. </w:t>
      </w:r>
    </w:p>
    <w:p w14:paraId="4C2649DF" w14:textId="7A2BA714" w:rsidR="00052659" w:rsidRPr="001429D0" w:rsidRDefault="001429D0" w:rsidP="001429D0">
      <w:pPr>
        <w:pStyle w:val="FliesstextNL"/>
        <w:spacing w:line="360" w:lineRule="auto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266930C" wp14:editId="039550C6">
            <wp:simplePos x="0" y="0"/>
            <wp:positionH relativeFrom="column">
              <wp:posOffset>3262630</wp:posOffset>
            </wp:positionH>
            <wp:positionV relativeFrom="paragraph">
              <wp:posOffset>250930</wp:posOffset>
            </wp:positionV>
            <wp:extent cx="2822575" cy="2389505"/>
            <wp:effectExtent l="19050" t="19050" r="15875" b="1079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_2022Q2_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3895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533C6" w:rsidRPr="005650DF" w14:paraId="4FF9FD53" w14:textId="77777777" w:rsidTr="001533C6">
        <w:trPr>
          <w:trHeight w:val="416"/>
        </w:trPr>
        <w:tc>
          <w:tcPr>
            <w:tcW w:w="3856" w:type="pct"/>
            <w:shd w:val="clear" w:color="auto" w:fill="000000" w:themeFill="text1"/>
            <w:vAlign w:val="center"/>
          </w:tcPr>
          <w:p w14:paraId="73ECD5FC" w14:textId="161AF0C8" w:rsidR="001533C6" w:rsidRPr="001533C6" w:rsidRDefault="001533C6" w:rsidP="00DF03C8">
            <w:pPr>
              <w:widowControl w:val="0"/>
              <w:spacing w:after="0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Büro</w:t>
            </w:r>
            <w:r w:rsidR="00EB2E4B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vermietungs</w:t>
            </w: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markt | Hamburg | 2022</w:t>
            </w:r>
          </w:p>
        </w:tc>
        <w:tc>
          <w:tcPr>
            <w:tcW w:w="1144" w:type="pct"/>
            <w:shd w:val="clear" w:color="auto" w:fill="000000" w:themeFill="text1"/>
            <w:vAlign w:val="center"/>
          </w:tcPr>
          <w:p w14:paraId="5FDA2CEA" w14:textId="6C2E13EE" w:rsidR="001533C6" w:rsidRPr="001533C6" w:rsidRDefault="001533C6" w:rsidP="00DF03C8">
            <w:pPr>
              <w:widowControl w:val="0"/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Q1</w:t>
            </w:r>
            <w:r w:rsidR="00EB2E4B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-2</w:t>
            </w:r>
          </w:p>
        </w:tc>
      </w:tr>
      <w:tr w:rsidR="001533C6" w:rsidRPr="00F952F7" w14:paraId="70B142AA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4783DB5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53031B">
              <w:rPr>
                <w:rFonts w:ascii="Arial" w:hAnsi="Arial" w:cs="Arial"/>
                <w:b/>
                <w:sz w:val="18"/>
                <w:szCs w:val="16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53E41973" w14:textId="79E503E8" w:rsidR="001533C6" w:rsidRPr="000E7BC7" w:rsidRDefault="00AC0717" w:rsidP="00C82B6C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30</w:t>
            </w:r>
            <w:r w:rsidR="00C82B6C">
              <w:rPr>
                <w:rFonts w:ascii="Arial" w:hAnsi="Arial" w:cs="Arial"/>
                <w:sz w:val="18"/>
                <w:szCs w:val="16"/>
              </w:rPr>
              <w:t>5</w:t>
            </w:r>
            <w:r w:rsidR="001533C6" w:rsidRPr="00450AE4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533C6" w:rsidRPr="00F952F7" w14:paraId="1DDBF1A6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5B57778E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5926FE8" w14:textId="7ADB2D91" w:rsidR="001533C6" w:rsidRPr="000E7BC7" w:rsidRDefault="001533C6" w:rsidP="00C82B6C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</w:t>
            </w:r>
            <w:r w:rsidR="00C82B6C">
              <w:rPr>
                <w:rFonts w:ascii="Arial" w:hAnsi="Arial" w:cs="Arial"/>
                <w:sz w:val="18"/>
                <w:szCs w:val="16"/>
              </w:rPr>
              <w:t>35,6</w:t>
            </w:r>
          </w:p>
        </w:tc>
      </w:tr>
      <w:tr w:rsidR="001533C6" w:rsidRPr="00F952F7" w14:paraId="077C5AA1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19D22308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Spitzenmiete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2D96A673" w14:textId="22C140ED" w:rsidR="001533C6" w:rsidRPr="000E7BC7" w:rsidRDefault="001533C6" w:rsidP="00AC0717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  <w:r w:rsidR="00AC0717">
              <w:rPr>
                <w:rFonts w:ascii="Arial" w:hAnsi="Arial" w:cs="Arial"/>
                <w:sz w:val="18"/>
                <w:szCs w:val="16"/>
              </w:rPr>
              <w:t>2</w:t>
            </w:r>
            <w:r>
              <w:rPr>
                <w:rFonts w:ascii="Arial" w:hAnsi="Arial" w:cs="Arial"/>
                <w:sz w:val="18"/>
                <w:szCs w:val="16"/>
              </w:rPr>
              <w:t>,50</w:t>
            </w:r>
          </w:p>
        </w:tc>
      </w:tr>
      <w:tr w:rsidR="001533C6" w:rsidRPr="00F952F7" w14:paraId="20E3055B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8AD8597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3EAC70D" w14:textId="7E78BB0D" w:rsidR="001533C6" w:rsidRPr="000E7BC7" w:rsidRDefault="001533C6" w:rsidP="00AC0717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AC0717">
              <w:rPr>
                <w:rFonts w:ascii="Arial" w:hAnsi="Arial" w:cs="Arial"/>
                <w:color w:val="000000" w:themeColor="text1"/>
                <w:sz w:val="18"/>
                <w:szCs w:val="16"/>
              </w:rPr>
              <w:t>4,8</w:t>
            </w:r>
          </w:p>
        </w:tc>
      </w:tr>
      <w:tr w:rsidR="001533C6" w:rsidRPr="00F952F7" w14:paraId="6F451023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0514069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0820D982" w14:textId="4BF1776E" w:rsidR="001533C6" w:rsidRPr="000E7BC7" w:rsidRDefault="00AC0717" w:rsidP="00C82B6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20,</w:t>
            </w:r>
            <w:r w:rsidR="00C82B6C">
              <w:rPr>
                <w:rFonts w:ascii="Arial" w:hAnsi="Arial" w:cs="Arial"/>
                <w:sz w:val="18"/>
                <w:szCs w:val="16"/>
              </w:rPr>
              <w:t>6</w:t>
            </w:r>
            <w:r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1533C6" w:rsidRPr="00F952F7" w14:paraId="0E42EFC7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7890C98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FB5030D" w14:textId="0D064603" w:rsidR="001533C6" w:rsidRPr="000E7BC7" w:rsidRDefault="001533C6" w:rsidP="00C82B6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C82B6C">
              <w:rPr>
                <w:rFonts w:ascii="Arial" w:hAnsi="Arial" w:cs="Arial"/>
                <w:color w:val="000000" w:themeColor="text1"/>
                <w:sz w:val="18"/>
                <w:szCs w:val="16"/>
              </w:rPr>
              <w:t>15,1</w:t>
            </w:r>
          </w:p>
        </w:tc>
      </w:tr>
      <w:tr w:rsidR="001533C6" w:rsidRPr="00F952F7" w14:paraId="2518123F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38F5680E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Büroflächenbestand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Mio. 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39A5B4DB" w14:textId="77777777" w:rsidR="001533C6" w:rsidRPr="000E7BC7" w:rsidRDefault="001533C6" w:rsidP="00DF03C8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14,0</w:t>
            </w:r>
          </w:p>
        </w:tc>
      </w:tr>
      <w:tr w:rsidR="001533C6" w:rsidRPr="00F952F7" w14:paraId="5213204C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2780C8D0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Leerstand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 xml:space="preserve"> inkl</w:t>
            </w:r>
            <w:r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12A4A9CF" w14:textId="2EF5015E" w:rsidR="001533C6" w:rsidRPr="000E7BC7" w:rsidRDefault="00AC0717" w:rsidP="006E2677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525.500</w:t>
            </w:r>
          </w:p>
        </w:tc>
      </w:tr>
      <w:tr w:rsidR="001533C6" w:rsidRPr="00F952F7" w14:paraId="64C1EF13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42CAE2FE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7C730CE0" w14:textId="7B557B40" w:rsidR="001533C6" w:rsidRPr="000E7BC7" w:rsidRDefault="006C77F1" w:rsidP="00AC0717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-</w:t>
            </w:r>
            <w:r w:rsidR="00AC0717">
              <w:rPr>
                <w:rFonts w:ascii="Arial" w:hAnsi="Arial" w:cs="Arial"/>
                <w:color w:val="000000" w:themeColor="text1"/>
                <w:sz w:val="18"/>
                <w:szCs w:val="16"/>
              </w:rPr>
              <w:t>1,8</w:t>
            </w:r>
          </w:p>
        </w:tc>
      </w:tr>
      <w:tr w:rsidR="001533C6" w:rsidRPr="00F952F7" w14:paraId="40CB2D96" w14:textId="77777777" w:rsidTr="00DF03C8">
        <w:trPr>
          <w:trHeight w:val="283"/>
        </w:trPr>
        <w:tc>
          <w:tcPr>
            <w:tcW w:w="3856" w:type="pct"/>
            <w:vAlign w:val="center"/>
          </w:tcPr>
          <w:p w14:paraId="7EFD95EC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Leerstandsquote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inkl</w:t>
            </w:r>
            <w:r w:rsidRPr="00CE0BB9">
              <w:rPr>
                <w:rFonts w:ascii="Arial" w:hAnsi="Arial" w:cs="Arial"/>
                <w:sz w:val="18"/>
                <w:szCs w:val="16"/>
              </w:rPr>
              <w:t>. Untermietflächen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16D7FC2" w14:textId="01062035" w:rsidR="001533C6" w:rsidRPr="000E7BC7" w:rsidRDefault="001533C6" w:rsidP="00AC0717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3,</w:t>
            </w:r>
            <w:r w:rsidR="00AC0717">
              <w:rPr>
                <w:rFonts w:ascii="Arial" w:hAnsi="Arial" w:cs="Arial"/>
                <w:color w:val="000000" w:themeColor="text1"/>
                <w:sz w:val="18"/>
                <w:szCs w:val="16"/>
              </w:rPr>
              <w:t>8</w:t>
            </w:r>
          </w:p>
        </w:tc>
      </w:tr>
      <w:tr w:rsidR="001533C6" w:rsidRPr="00F952F7" w14:paraId="5E4D6219" w14:textId="77777777" w:rsidTr="00DF03C8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4DA0B3D9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Fertigstellungen 2022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+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3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29207C4D" w14:textId="5F78BF98" w:rsidR="001533C6" w:rsidRPr="000E7BC7" w:rsidRDefault="00AC0717" w:rsidP="00DF03C8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549</w:t>
            </w:r>
            <w:r w:rsidR="001533C6" w:rsidRPr="00013842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1533C6" w:rsidRPr="00F952F7" w14:paraId="39ED958F" w14:textId="77777777" w:rsidTr="00DF03C8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59B947E6" w14:textId="77777777" w:rsidR="001533C6" w:rsidRPr="000E7BC7" w:rsidRDefault="001533C6" w:rsidP="00DF03C8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Vorvermietungsquote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%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34083532" w14:textId="0F810DC5" w:rsidR="001533C6" w:rsidRPr="000E7BC7" w:rsidRDefault="00AC0717" w:rsidP="00C82B6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7</w:t>
            </w:r>
            <w:r w:rsidR="00C82B6C">
              <w:rPr>
                <w:rFonts w:ascii="Arial" w:hAnsi="Arial" w:cs="Arial"/>
                <w:color w:val="000000" w:themeColor="text1"/>
                <w:sz w:val="18"/>
                <w:szCs w:val="16"/>
              </w:rPr>
              <w:t>6</w:t>
            </w:r>
          </w:p>
        </w:tc>
      </w:tr>
    </w:tbl>
    <w:p w14:paraId="2776974B" w14:textId="6D0F2C84" w:rsidR="001533C6" w:rsidRDefault="001533C6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0B96EC8B" w14:textId="77777777" w:rsidR="001533C6" w:rsidRDefault="001533C6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1953F707" w14:textId="77777777" w:rsidR="006C77F1" w:rsidRDefault="006C77F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7C5FA7AA" w14:textId="77777777" w:rsidR="00123E01" w:rsidRDefault="00123E0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034C0035" w14:textId="77777777" w:rsidR="00123E01" w:rsidRDefault="00123E01" w:rsidP="001533C6">
      <w:pPr>
        <w:spacing w:after="0"/>
        <w:rPr>
          <w:rFonts w:ascii="Arial" w:hAnsi="Arial" w:cs="Arial"/>
          <w:b/>
          <w:sz w:val="20"/>
          <w:szCs w:val="20"/>
        </w:rPr>
      </w:pPr>
    </w:p>
    <w:p w14:paraId="45388B5A" w14:textId="206CA6E9" w:rsidR="001533C6" w:rsidRDefault="001533C6" w:rsidP="001533C6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bekannte Top-Abschlüsse | Büro</w:t>
      </w:r>
      <w:r w:rsidR="00EB2E4B">
        <w:rPr>
          <w:rFonts w:ascii="Arial" w:hAnsi="Arial" w:cs="Arial"/>
          <w:b/>
          <w:sz w:val="20"/>
          <w:szCs w:val="20"/>
        </w:rPr>
        <w:t>vermietungs</w:t>
      </w:r>
      <w:r>
        <w:rPr>
          <w:rFonts w:ascii="Arial" w:hAnsi="Arial" w:cs="Arial"/>
          <w:b/>
          <w:sz w:val="20"/>
          <w:szCs w:val="20"/>
        </w:rPr>
        <w:t>markt Hamburg | 1.</w:t>
      </w:r>
      <w:r w:rsidR="00EB2E4B">
        <w:rPr>
          <w:rFonts w:ascii="Arial" w:hAnsi="Arial" w:cs="Arial"/>
          <w:b/>
          <w:sz w:val="20"/>
          <w:szCs w:val="20"/>
        </w:rPr>
        <w:t>-2.</w:t>
      </w:r>
      <w:r>
        <w:rPr>
          <w:rFonts w:ascii="Arial" w:hAnsi="Arial" w:cs="Arial"/>
          <w:b/>
          <w:sz w:val="20"/>
          <w:szCs w:val="20"/>
        </w:rPr>
        <w:t xml:space="preserve"> Quartal 2022</w:t>
      </w:r>
    </w:p>
    <w:tbl>
      <w:tblPr>
        <w:tblStyle w:val="Tabellenraster"/>
        <w:tblpPr w:leftFromText="141" w:rightFromText="141" w:vertAnchor="text" w:horzAnchor="margin" w:tblpXSpec="center" w:tblpY="218"/>
        <w:tblW w:w="9634" w:type="dxa"/>
        <w:jc w:val="center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1436"/>
        <w:gridCol w:w="832"/>
      </w:tblGrid>
      <w:tr w:rsidR="006C77F1" w:rsidRPr="0017364E" w14:paraId="60919A6D" w14:textId="77777777" w:rsidTr="00045697">
        <w:trPr>
          <w:trHeight w:val="567"/>
          <w:jc w:val="center"/>
        </w:trPr>
        <w:tc>
          <w:tcPr>
            <w:tcW w:w="2405" w:type="dxa"/>
            <w:shd w:val="clear" w:color="auto" w:fill="000000" w:themeFill="text1"/>
            <w:vAlign w:val="center"/>
          </w:tcPr>
          <w:p w14:paraId="2546E44C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Mieter / Eigennutzer (EN)</w:t>
            </w:r>
          </w:p>
          <w:p w14:paraId="2BB100F7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407ED6E7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Objekt / Projekt</w:t>
            </w:r>
          </w:p>
          <w:p w14:paraId="5D072738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14:paraId="76787E3C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  <w:p w14:paraId="078FBD69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436" w:type="dxa"/>
            <w:shd w:val="clear" w:color="auto" w:fill="000000" w:themeFill="text1"/>
            <w:vAlign w:val="center"/>
          </w:tcPr>
          <w:p w14:paraId="30621121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  <w:p w14:paraId="3D37EA5E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832" w:type="dxa"/>
            <w:shd w:val="clear" w:color="auto" w:fill="000000" w:themeFill="text1"/>
            <w:vAlign w:val="center"/>
          </w:tcPr>
          <w:p w14:paraId="2526E7A6" w14:textId="77777777" w:rsidR="001533C6" w:rsidRPr="001533C6" w:rsidRDefault="001533C6" w:rsidP="00045697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 xml:space="preserve">Fläche </w:t>
            </w:r>
            <w:r w:rsidRPr="001533C6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Pr="001533C6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m²]</w:t>
            </w:r>
          </w:p>
        </w:tc>
      </w:tr>
      <w:tr w:rsidR="006C77F1" w:rsidRPr="0017364E" w14:paraId="77DBE2C5" w14:textId="77777777" w:rsidTr="00CD4CE5">
        <w:trPr>
          <w:trHeight w:val="56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CDE409B" w14:textId="764BF4B7" w:rsidR="00276FB2" w:rsidRPr="006C77F1" w:rsidRDefault="00A14078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Hamburger Sparkasse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5616190" w14:textId="2B5C2FF8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„Deutschlandhaus“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3E89055" w14:textId="256D4582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Dammtorstraße 1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0BF5B724" w14:textId="7582D84E" w:rsidR="00276FB2" w:rsidRPr="006C77F1" w:rsidRDefault="00A14078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C7FA4A3" w14:textId="68A5C8C5" w:rsidR="00276FB2" w:rsidRPr="006C77F1" w:rsidRDefault="00A14078" w:rsidP="00045697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30.800</w:t>
            </w:r>
            <w:r w:rsidR="00276FB2" w:rsidRPr="006C77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14078" w:rsidRPr="006E2677" w14:paraId="155379B5" w14:textId="77777777" w:rsidTr="00CD4CE5">
        <w:trPr>
          <w:trHeight w:val="567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14:paraId="49978C96" w14:textId="5EA77D20" w:rsidR="00A14078" w:rsidRPr="006C77F1" w:rsidRDefault="00A14078" w:rsidP="00A1407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A14078">
              <w:rPr>
                <w:rFonts w:ascii="Arial" w:hAnsi="Arial" w:cs="Arial"/>
                <w:sz w:val="20"/>
                <w:szCs w:val="20"/>
              </w:rPr>
              <w:t>VTG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5F93B6B" w14:textId="142E7DDC" w:rsidR="00A14078" w:rsidRPr="0027363B" w:rsidRDefault="00A14078" w:rsidP="00A1407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078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„Green Innovation Lab“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696B69" w14:textId="59B96D05" w:rsidR="00A14078" w:rsidRPr="00A14078" w:rsidRDefault="00A14078" w:rsidP="00A1407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Versmannstraße, „</w:t>
            </w:r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>Elbbrückenquartier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14:paraId="484A786E" w14:textId="204C1827" w:rsidR="00A14078" w:rsidRPr="006C77F1" w:rsidRDefault="00A14078" w:rsidP="00A1407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>HafenCity</w:t>
            </w:r>
            <w:proofErr w:type="spellEnd"/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BFAF344" w14:textId="245992D6" w:rsidR="00A14078" w:rsidRPr="006C77F1" w:rsidRDefault="00A14078" w:rsidP="00A14078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7F1">
              <w:rPr>
                <w:rFonts w:ascii="Arial" w:hAnsi="Arial" w:cs="Arial"/>
                <w:color w:val="000000"/>
                <w:sz w:val="20"/>
                <w:szCs w:val="20"/>
              </w:rPr>
              <w:t xml:space="preserve">11.500 </w:t>
            </w:r>
          </w:p>
        </w:tc>
      </w:tr>
      <w:tr w:rsidR="006C77F1" w:rsidRPr="0017364E" w14:paraId="10468498" w14:textId="77777777" w:rsidTr="00CD4CE5">
        <w:trPr>
          <w:trHeight w:val="56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E70CDED" w14:textId="3641FFEF" w:rsidR="00276FB2" w:rsidRPr="006C77F1" w:rsidRDefault="00423E19" w:rsidP="00423E19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423E19">
              <w:rPr>
                <w:rFonts w:ascii="Arial" w:hAnsi="Arial" w:cs="Arial"/>
                <w:sz w:val="20"/>
                <w:szCs w:val="20"/>
              </w:rPr>
              <w:t>Kasse.Hamburg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898C748" w14:textId="5E1DCFB6" w:rsidR="00276FB2" w:rsidRPr="006C77F1" w:rsidRDefault="000E3623" w:rsidP="00045697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A47">
              <w:rPr>
                <w:rFonts w:ascii="Arial" w:hAnsi="Arial" w:cs="Arial"/>
                <w:sz w:val="20"/>
                <w:szCs w:val="20"/>
              </w:rPr>
              <w:t>Bestandsgebäude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821C1E3" w14:textId="11105D4A" w:rsidR="00276FB2" w:rsidRPr="006C77F1" w:rsidRDefault="00423E19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Gasstraße 27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72180C29" w14:textId="3E4033BD" w:rsidR="00276FB2" w:rsidRPr="006C77F1" w:rsidRDefault="00423E19" w:rsidP="002736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Bahrenfeld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1F9773E9" w14:textId="47E88090" w:rsidR="00276FB2" w:rsidRPr="0027363B" w:rsidRDefault="00423E19" w:rsidP="0027363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8.900</w:t>
            </w:r>
          </w:p>
        </w:tc>
      </w:tr>
      <w:tr w:rsidR="006C77F1" w:rsidRPr="0017364E" w14:paraId="234EA95A" w14:textId="77777777" w:rsidTr="00CD4CE5">
        <w:trPr>
          <w:trHeight w:val="56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C39F7BC" w14:textId="77777777" w:rsidR="004634D9" w:rsidRDefault="004634D9" w:rsidP="002736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Branche</w:t>
            </w:r>
          </w:p>
          <w:p w14:paraId="7C59719D" w14:textId="5179E458" w:rsidR="00276FB2" w:rsidRPr="006C77F1" w:rsidRDefault="004634D9" w:rsidP="002736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 &amp; Immobilien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E688F4C" w14:textId="7B503CDC" w:rsidR="00276FB2" w:rsidRPr="006C77F1" w:rsidRDefault="00423E19" w:rsidP="002736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„Spiegel Haus“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4E0271" w14:textId="6BF12957" w:rsidR="00276FB2" w:rsidRPr="006C77F1" w:rsidRDefault="00423E19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Ericusspitze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37C08CDB" w14:textId="3DA3BC22" w:rsidR="00276FB2" w:rsidRPr="006C77F1" w:rsidRDefault="00423E19" w:rsidP="0027363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Hafen</w:t>
            </w:r>
            <w:r w:rsidR="00276FB2" w:rsidRPr="002736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70E8854C" w14:textId="405A7EE0" w:rsidR="00276FB2" w:rsidRPr="006C77F1" w:rsidRDefault="00423E19" w:rsidP="0027363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7.800</w:t>
            </w:r>
          </w:p>
        </w:tc>
      </w:tr>
      <w:tr w:rsidR="006C77F1" w:rsidRPr="0017364E" w14:paraId="42E15EBD" w14:textId="77777777" w:rsidTr="00CD4CE5">
        <w:trPr>
          <w:trHeight w:val="56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BC3952C" w14:textId="2E71327C" w:rsidR="004634D9" w:rsidRPr="006C77F1" w:rsidRDefault="004634D9" w:rsidP="004634D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Branche Handel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93E8AA8" w14:textId="74F0D3D5" w:rsidR="00276FB2" w:rsidRPr="006C77F1" w:rsidRDefault="00045697" w:rsidP="00423E1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423E19">
              <w:rPr>
                <w:rFonts w:ascii="Arial" w:hAnsi="Arial" w:cs="Arial"/>
                <w:color w:val="000000"/>
                <w:sz w:val="20"/>
                <w:szCs w:val="20"/>
              </w:rPr>
              <w:t>Herrlichkeit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F5A286C" w14:textId="0B6CF451" w:rsidR="00276FB2" w:rsidRPr="006C77F1" w:rsidRDefault="00423E19" w:rsidP="000456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3E19">
              <w:rPr>
                <w:rFonts w:ascii="Arial" w:hAnsi="Arial" w:cs="Arial"/>
                <w:color w:val="000000"/>
                <w:sz w:val="20"/>
                <w:szCs w:val="20"/>
              </w:rPr>
              <w:t>Rödingsmarkt</w:t>
            </w:r>
            <w:proofErr w:type="spellEnd"/>
            <w:r w:rsidRPr="00423E19">
              <w:rPr>
                <w:rFonts w:ascii="Arial" w:hAnsi="Arial" w:cs="Arial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30CD8576" w14:textId="77777777" w:rsidR="00276FB2" w:rsidRPr="006C77F1" w:rsidRDefault="00276FB2" w:rsidP="0027363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36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5785CB9E" w14:textId="4B676475" w:rsidR="00276FB2" w:rsidRPr="0027363B" w:rsidRDefault="00423E19" w:rsidP="0027363B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7</w:t>
            </w:r>
            <w:r w:rsidR="00276FB2" w:rsidRPr="0027363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.600</w:t>
            </w:r>
          </w:p>
        </w:tc>
      </w:tr>
    </w:tbl>
    <w:p w14:paraId="5AFC598B" w14:textId="77777777" w:rsidR="001533C6" w:rsidRDefault="001533C6" w:rsidP="001533C6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1E03FE05" w14:textId="3B93B317" w:rsidR="001533C6" w:rsidRDefault="00CD4CE5" w:rsidP="001533C6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Deals aus jeweiligem Berichtsquartal sind grau hinterlegt</w:t>
      </w:r>
    </w:p>
    <w:p w14:paraId="6344DC72" w14:textId="77777777" w:rsidR="00CD4CE5" w:rsidRDefault="00CD4CE5" w:rsidP="001533C6">
      <w:pPr>
        <w:spacing w:after="0" w:line="36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3144B28" w14:textId="3D793714" w:rsidR="001533C6" w:rsidRPr="00A3554C" w:rsidRDefault="001533C6" w:rsidP="001533C6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Der </w:t>
      </w:r>
      <w:hyperlink r:id="rId9" w:history="1">
        <w:r w:rsidRPr="00EB2E4B">
          <w:rPr>
            <w:rStyle w:val="Hyperlink"/>
            <w:rFonts w:ascii="Arial" w:eastAsia="Arial" w:hAnsi="Arial" w:cs="Arial"/>
            <w:sz w:val="20"/>
            <w:szCs w:val="20"/>
          </w:rPr>
          <w:t xml:space="preserve">Marktbericht Bürovermietung Hamburg </w:t>
        </w:r>
        <w:r w:rsidR="00EB2E4B" w:rsidRPr="00EB2E4B">
          <w:rPr>
            <w:rStyle w:val="Hyperlink"/>
            <w:rFonts w:ascii="Arial" w:eastAsia="Arial" w:hAnsi="Arial" w:cs="Arial"/>
            <w:sz w:val="20"/>
            <w:szCs w:val="20"/>
          </w:rPr>
          <w:t>2022/Q2</w:t>
        </w:r>
      </w:hyperlink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steht in Kürze auf unserer Website zum Download bereit.</w:t>
      </w:r>
    </w:p>
    <w:p w14:paraId="351DF6B0" w14:textId="77777777" w:rsidR="00EB2E4B" w:rsidRDefault="00EB2E4B" w:rsidP="00EB2E4B">
      <w:pPr>
        <w:pStyle w:val="Kommentartext"/>
        <w:spacing w:after="0" w:line="360" w:lineRule="auto"/>
        <w:rPr>
          <w:rFonts w:ascii="Arial" w:hAnsi="Arial" w:cs="Arial"/>
        </w:rPr>
      </w:pPr>
    </w:p>
    <w:p w14:paraId="598D9D52" w14:textId="77777777" w:rsidR="00EB2E4B" w:rsidRPr="0090748B" w:rsidRDefault="00EB2E4B" w:rsidP="00EB2E4B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28D93565" w14:textId="77777777" w:rsidR="00EB2E4B" w:rsidRPr="00521AA1" w:rsidRDefault="00EB2E4B" w:rsidP="00EB2E4B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Rund 240 Mitarbeiter decken mit ihrer umfassenden Immobilienkompetenz das </w:t>
      </w:r>
      <w:r w:rsidRPr="00521AA1">
        <w:rPr>
          <w:rFonts w:ascii="Arial" w:hAnsi="Arial" w:cs="Arial"/>
          <w:snapToGrid w:val="0"/>
          <w:sz w:val="16"/>
          <w:szCs w:val="16"/>
        </w:rPr>
        <w:lastRenderedPageBreak/>
        <w:t>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2FE23F08" w14:textId="77777777" w:rsidR="00EB2E4B" w:rsidRPr="00521AA1" w:rsidRDefault="00EB2E4B" w:rsidP="00EB2E4B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598D97F" w14:textId="77777777" w:rsidR="00EB2E4B" w:rsidRDefault="00EB2E4B" w:rsidP="00EB2E4B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E85C204" w14:textId="2DBF9C79" w:rsidR="00503D8C" w:rsidRPr="00EB2E4B" w:rsidRDefault="00EB2E4B" w:rsidP="00EB2E4B">
      <w:pPr>
        <w:spacing w:after="0" w:line="36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EB2E4B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1FC1F" w14:textId="77777777" w:rsidR="006261DF" w:rsidRDefault="006261DF">
      <w:r>
        <w:separator/>
      </w:r>
    </w:p>
  </w:endnote>
  <w:endnote w:type="continuationSeparator" w:id="0">
    <w:p w14:paraId="3208BE65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964F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6B083F2C" w14:textId="24750C39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F228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F228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38FA3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F47B225" wp14:editId="1C89EA7E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9ED3" w14:textId="77777777" w:rsidR="006261DF" w:rsidRDefault="006261DF">
      <w:r>
        <w:separator/>
      </w:r>
    </w:p>
  </w:footnote>
  <w:footnote w:type="continuationSeparator" w:id="0">
    <w:p w14:paraId="39B0F1CE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29A0F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43D6D" wp14:editId="4D656D57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5AE53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43D6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14:paraId="71F5AE53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B6D33E7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5ACE5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208E6D" wp14:editId="4704D40C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9F499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08E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14:paraId="65C9F499" w14:textId="7777777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6FE6CB11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528E8"/>
    <w:multiLevelType w:val="hybridMultilevel"/>
    <w:tmpl w:val="0D90CF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00B82"/>
    <w:multiLevelType w:val="hybridMultilevel"/>
    <w:tmpl w:val="40A20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42410"/>
    <w:multiLevelType w:val="hybridMultilevel"/>
    <w:tmpl w:val="74541A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6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BD0102"/>
    <w:multiLevelType w:val="hybridMultilevel"/>
    <w:tmpl w:val="8CD674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5"/>
  </w:num>
  <w:num w:numId="15">
    <w:abstractNumId w:val="16"/>
  </w:num>
  <w:num w:numId="16">
    <w:abstractNumId w:val="17"/>
  </w:num>
  <w:num w:numId="17">
    <w:abstractNumId w:val="13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45697"/>
    <w:rsid w:val="00052659"/>
    <w:rsid w:val="000539E2"/>
    <w:rsid w:val="00060743"/>
    <w:rsid w:val="00066796"/>
    <w:rsid w:val="000766D7"/>
    <w:rsid w:val="000B3315"/>
    <w:rsid w:val="000C3226"/>
    <w:rsid w:val="000C770D"/>
    <w:rsid w:val="000E03F3"/>
    <w:rsid w:val="000E3623"/>
    <w:rsid w:val="000F0E7C"/>
    <w:rsid w:val="000F509A"/>
    <w:rsid w:val="001029C4"/>
    <w:rsid w:val="0011080A"/>
    <w:rsid w:val="0011486D"/>
    <w:rsid w:val="00121E33"/>
    <w:rsid w:val="00123E01"/>
    <w:rsid w:val="00126550"/>
    <w:rsid w:val="00126EEF"/>
    <w:rsid w:val="001324D6"/>
    <w:rsid w:val="00135BD2"/>
    <w:rsid w:val="001429D0"/>
    <w:rsid w:val="001533C6"/>
    <w:rsid w:val="00154825"/>
    <w:rsid w:val="00155DAF"/>
    <w:rsid w:val="00165E83"/>
    <w:rsid w:val="0017516B"/>
    <w:rsid w:val="00176F1D"/>
    <w:rsid w:val="001801C0"/>
    <w:rsid w:val="00195B90"/>
    <w:rsid w:val="001A2ABE"/>
    <w:rsid w:val="001A360C"/>
    <w:rsid w:val="001C61D7"/>
    <w:rsid w:val="001D14DA"/>
    <w:rsid w:val="001E6995"/>
    <w:rsid w:val="001E7013"/>
    <w:rsid w:val="001F1513"/>
    <w:rsid w:val="00205769"/>
    <w:rsid w:val="00212FEC"/>
    <w:rsid w:val="002131BB"/>
    <w:rsid w:val="0022086D"/>
    <w:rsid w:val="00227E31"/>
    <w:rsid w:val="00230F81"/>
    <w:rsid w:val="00233D8F"/>
    <w:rsid w:val="00254C6F"/>
    <w:rsid w:val="0025679F"/>
    <w:rsid w:val="0027266B"/>
    <w:rsid w:val="0027363B"/>
    <w:rsid w:val="00276FB2"/>
    <w:rsid w:val="00281E80"/>
    <w:rsid w:val="002834B0"/>
    <w:rsid w:val="00283671"/>
    <w:rsid w:val="00284E27"/>
    <w:rsid w:val="00287506"/>
    <w:rsid w:val="002916A0"/>
    <w:rsid w:val="002A11B2"/>
    <w:rsid w:val="002A1973"/>
    <w:rsid w:val="002A6649"/>
    <w:rsid w:val="002B3C3A"/>
    <w:rsid w:val="002C2392"/>
    <w:rsid w:val="002D1C5C"/>
    <w:rsid w:val="002D1E20"/>
    <w:rsid w:val="002D584C"/>
    <w:rsid w:val="002E6860"/>
    <w:rsid w:val="002F0411"/>
    <w:rsid w:val="00305C18"/>
    <w:rsid w:val="003100F1"/>
    <w:rsid w:val="003112F5"/>
    <w:rsid w:val="00325E2A"/>
    <w:rsid w:val="0034786C"/>
    <w:rsid w:val="003517C9"/>
    <w:rsid w:val="00353937"/>
    <w:rsid w:val="00370000"/>
    <w:rsid w:val="00373507"/>
    <w:rsid w:val="0038230E"/>
    <w:rsid w:val="00382529"/>
    <w:rsid w:val="00387375"/>
    <w:rsid w:val="00394A86"/>
    <w:rsid w:val="003B24E3"/>
    <w:rsid w:val="003B4CCF"/>
    <w:rsid w:val="003C21E0"/>
    <w:rsid w:val="003C4FD8"/>
    <w:rsid w:val="003C6AB4"/>
    <w:rsid w:val="003D512D"/>
    <w:rsid w:val="003E0779"/>
    <w:rsid w:val="003E099F"/>
    <w:rsid w:val="003E41FB"/>
    <w:rsid w:val="0040086D"/>
    <w:rsid w:val="004017D8"/>
    <w:rsid w:val="00411E03"/>
    <w:rsid w:val="004123B1"/>
    <w:rsid w:val="004205FA"/>
    <w:rsid w:val="00423E06"/>
    <w:rsid w:val="00423E19"/>
    <w:rsid w:val="004303A1"/>
    <w:rsid w:val="00440DC9"/>
    <w:rsid w:val="004506D2"/>
    <w:rsid w:val="00456F40"/>
    <w:rsid w:val="004609BD"/>
    <w:rsid w:val="004634D9"/>
    <w:rsid w:val="004661EE"/>
    <w:rsid w:val="00466741"/>
    <w:rsid w:val="00475BA6"/>
    <w:rsid w:val="00486DD1"/>
    <w:rsid w:val="004904E8"/>
    <w:rsid w:val="004A2BEA"/>
    <w:rsid w:val="004A3C64"/>
    <w:rsid w:val="004A5AEA"/>
    <w:rsid w:val="004B2FDA"/>
    <w:rsid w:val="004B480A"/>
    <w:rsid w:val="004B6696"/>
    <w:rsid w:val="004E339B"/>
    <w:rsid w:val="004E4562"/>
    <w:rsid w:val="004F077F"/>
    <w:rsid w:val="004F097F"/>
    <w:rsid w:val="005023DD"/>
    <w:rsid w:val="00503D8C"/>
    <w:rsid w:val="005111DD"/>
    <w:rsid w:val="00522B84"/>
    <w:rsid w:val="00526DD0"/>
    <w:rsid w:val="00531A7F"/>
    <w:rsid w:val="005428C5"/>
    <w:rsid w:val="00543C55"/>
    <w:rsid w:val="005554C7"/>
    <w:rsid w:val="00582B99"/>
    <w:rsid w:val="00590903"/>
    <w:rsid w:val="005A040F"/>
    <w:rsid w:val="005B0FC9"/>
    <w:rsid w:val="005B4202"/>
    <w:rsid w:val="005B66D3"/>
    <w:rsid w:val="005C4556"/>
    <w:rsid w:val="005C5302"/>
    <w:rsid w:val="005E362E"/>
    <w:rsid w:val="005E4B48"/>
    <w:rsid w:val="00600E64"/>
    <w:rsid w:val="0061109D"/>
    <w:rsid w:val="00612AA0"/>
    <w:rsid w:val="006138CB"/>
    <w:rsid w:val="006224C4"/>
    <w:rsid w:val="006225EA"/>
    <w:rsid w:val="006261DF"/>
    <w:rsid w:val="00642074"/>
    <w:rsid w:val="00642904"/>
    <w:rsid w:val="00656B29"/>
    <w:rsid w:val="00660780"/>
    <w:rsid w:val="00667A1B"/>
    <w:rsid w:val="00683F13"/>
    <w:rsid w:val="0069521D"/>
    <w:rsid w:val="00695E58"/>
    <w:rsid w:val="00697AA1"/>
    <w:rsid w:val="006A1329"/>
    <w:rsid w:val="006A66F9"/>
    <w:rsid w:val="006C77F1"/>
    <w:rsid w:val="006E2677"/>
    <w:rsid w:val="006F2EE8"/>
    <w:rsid w:val="00713A47"/>
    <w:rsid w:val="007208AB"/>
    <w:rsid w:val="00720DFF"/>
    <w:rsid w:val="007466E0"/>
    <w:rsid w:val="00762CC5"/>
    <w:rsid w:val="00764025"/>
    <w:rsid w:val="00774464"/>
    <w:rsid w:val="007846B3"/>
    <w:rsid w:val="007906B4"/>
    <w:rsid w:val="007A3012"/>
    <w:rsid w:val="007A5FCF"/>
    <w:rsid w:val="007A7F58"/>
    <w:rsid w:val="007D1244"/>
    <w:rsid w:val="007D1AF6"/>
    <w:rsid w:val="007E759D"/>
    <w:rsid w:val="007F49FD"/>
    <w:rsid w:val="008115D5"/>
    <w:rsid w:val="00812471"/>
    <w:rsid w:val="008261A5"/>
    <w:rsid w:val="0083382E"/>
    <w:rsid w:val="00853339"/>
    <w:rsid w:val="00855325"/>
    <w:rsid w:val="00862E34"/>
    <w:rsid w:val="00865915"/>
    <w:rsid w:val="00866AE7"/>
    <w:rsid w:val="00871832"/>
    <w:rsid w:val="00886CCE"/>
    <w:rsid w:val="00890348"/>
    <w:rsid w:val="00895028"/>
    <w:rsid w:val="00896B33"/>
    <w:rsid w:val="008A00C5"/>
    <w:rsid w:val="008A62FB"/>
    <w:rsid w:val="008A77B7"/>
    <w:rsid w:val="008B0F67"/>
    <w:rsid w:val="008C608D"/>
    <w:rsid w:val="008E1C5F"/>
    <w:rsid w:val="008E461D"/>
    <w:rsid w:val="008F08E5"/>
    <w:rsid w:val="008F0EA4"/>
    <w:rsid w:val="008F423B"/>
    <w:rsid w:val="008F5213"/>
    <w:rsid w:val="0090748B"/>
    <w:rsid w:val="00920C9C"/>
    <w:rsid w:val="00922754"/>
    <w:rsid w:val="00925781"/>
    <w:rsid w:val="009258D0"/>
    <w:rsid w:val="00935AB3"/>
    <w:rsid w:val="00957DE0"/>
    <w:rsid w:val="009734CE"/>
    <w:rsid w:val="009864F4"/>
    <w:rsid w:val="00996E1A"/>
    <w:rsid w:val="009A0E66"/>
    <w:rsid w:val="009B3C8C"/>
    <w:rsid w:val="009D24DA"/>
    <w:rsid w:val="009D5D75"/>
    <w:rsid w:val="009F32A2"/>
    <w:rsid w:val="009F54CE"/>
    <w:rsid w:val="00A06264"/>
    <w:rsid w:val="00A07CA3"/>
    <w:rsid w:val="00A14078"/>
    <w:rsid w:val="00A1639A"/>
    <w:rsid w:val="00A215C9"/>
    <w:rsid w:val="00A52CBD"/>
    <w:rsid w:val="00A5364B"/>
    <w:rsid w:val="00A615E0"/>
    <w:rsid w:val="00A61BBC"/>
    <w:rsid w:val="00A65E2B"/>
    <w:rsid w:val="00A72D61"/>
    <w:rsid w:val="00A74AA0"/>
    <w:rsid w:val="00A7546D"/>
    <w:rsid w:val="00A77100"/>
    <w:rsid w:val="00AA4D97"/>
    <w:rsid w:val="00AC0717"/>
    <w:rsid w:val="00AD17B7"/>
    <w:rsid w:val="00B077D5"/>
    <w:rsid w:val="00B150EF"/>
    <w:rsid w:val="00B200E4"/>
    <w:rsid w:val="00B35B6D"/>
    <w:rsid w:val="00B35DC6"/>
    <w:rsid w:val="00B47901"/>
    <w:rsid w:val="00B51699"/>
    <w:rsid w:val="00B53FAF"/>
    <w:rsid w:val="00B559C4"/>
    <w:rsid w:val="00B63153"/>
    <w:rsid w:val="00B6527D"/>
    <w:rsid w:val="00B73550"/>
    <w:rsid w:val="00B73B3A"/>
    <w:rsid w:val="00B74507"/>
    <w:rsid w:val="00B75718"/>
    <w:rsid w:val="00B75E7E"/>
    <w:rsid w:val="00B81983"/>
    <w:rsid w:val="00B92005"/>
    <w:rsid w:val="00B93817"/>
    <w:rsid w:val="00B9622F"/>
    <w:rsid w:val="00BA0B96"/>
    <w:rsid w:val="00BB15DA"/>
    <w:rsid w:val="00BB340D"/>
    <w:rsid w:val="00BC2A3A"/>
    <w:rsid w:val="00BC64EC"/>
    <w:rsid w:val="00BD073D"/>
    <w:rsid w:val="00BE3639"/>
    <w:rsid w:val="00BF3AFD"/>
    <w:rsid w:val="00BF4F54"/>
    <w:rsid w:val="00C1606C"/>
    <w:rsid w:val="00C23180"/>
    <w:rsid w:val="00C41492"/>
    <w:rsid w:val="00C519D3"/>
    <w:rsid w:val="00C702B5"/>
    <w:rsid w:val="00C70389"/>
    <w:rsid w:val="00C72EED"/>
    <w:rsid w:val="00C82B6C"/>
    <w:rsid w:val="00C8617F"/>
    <w:rsid w:val="00C904B6"/>
    <w:rsid w:val="00C96DF4"/>
    <w:rsid w:val="00CA25A2"/>
    <w:rsid w:val="00CC1337"/>
    <w:rsid w:val="00CC48DF"/>
    <w:rsid w:val="00CD0EFC"/>
    <w:rsid w:val="00CD4CE5"/>
    <w:rsid w:val="00CD70E7"/>
    <w:rsid w:val="00CD7363"/>
    <w:rsid w:val="00CE0C1F"/>
    <w:rsid w:val="00CE455F"/>
    <w:rsid w:val="00CE687E"/>
    <w:rsid w:val="00CF0BF9"/>
    <w:rsid w:val="00CF0C9B"/>
    <w:rsid w:val="00CF2280"/>
    <w:rsid w:val="00CF5957"/>
    <w:rsid w:val="00D04BA2"/>
    <w:rsid w:val="00D077B0"/>
    <w:rsid w:val="00D21B3B"/>
    <w:rsid w:val="00D22D42"/>
    <w:rsid w:val="00D24B4C"/>
    <w:rsid w:val="00D36D8D"/>
    <w:rsid w:val="00D45711"/>
    <w:rsid w:val="00D500FC"/>
    <w:rsid w:val="00D5104F"/>
    <w:rsid w:val="00D51597"/>
    <w:rsid w:val="00D5326E"/>
    <w:rsid w:val="00D55867"/>
    <w:rsid w:val="00D634A3"/>
    <w:rsid w:val="00D71987"/>
    <w:rsid w:val="00D72339"/>
    <w:rsid w:val="00D73E47"/>
    <w:rsid w:val="00D74ABB"/>
    <w:rsid w:val="00D83CB7"/>
    <w:rsid w:val="00D84CB5"/>
    <w:rsid w:val="00D97FA8"/>
    <w:rsid w:val="00DA054B"/>
    <w:rsid w:val="00DA7F55"/>
    <w:rsid w:val="00DC7B25"/>
    <w:rsid w:val="00DD6B73"/>
    <w:rsid w:val="00E06E94"/>
    <w:rsid w:val="00E112C9"/>
    <w:rsid w:val="00E158F7"/>
    <w:rsid w:val="00E2087E"/>
    <w:rsid w:val="00E31133"/>
    <w:rsid w:val="00E36818"/>
    <w:rsid w:val="00E47B97"/>
    <w:rsid w:val="00E5203C"/>
    <w:rsid w:val="00E634CC"/>
    <w:rsid w:val="00E70681"/>
    <w:rsid w:val="00E82F0E"/>
    <w:rsid w:val="00E90DFD"/>
    <w:rsid w:val="00E96FAC"/>
    <w:rsid w:val="00EA129F"/>
    <w:rsid w:val="00EB2E4B"/>
    <w:rsid w:val="00ED0582"/>
    <w:rsid w:val="00EE31F6"/>
    <w:rsid w:val="00EE36DC"/>
    <w:rsid w:val="00EE7304"/>
    <w:rsid w:val="00F044EE"/>
    <w:rsid w:val="00F13885"/>
    <w:rsid w:val="00F23BDE"/>
    <w:rsid w:val="00F26E7B"/>
    <w:rsid w:val="00F32759"/>
    <w:rsid w:val="00F3320B"/>
    <w:rsid w:val="00F40E92"/>
    <w:rsid w:val="00F41947"/>
    <w:rsid w:val="00F435AA"/>
    <w:rsid w:val="00F448CB"/>
    <w:rsid w:val="00F635B4"/>
    <w:rsid w:val="00F67DD8"/>
    <w:rsid w:val="00F750C9"/>
    <w:rsid w:val="00F76C6A"/>
    <w:rsid w:val="00F83BF1"/>
    <w:rsid w:val="00F90CB9"/>
    <w:rsid w:val="00F944DB"/>
    <w:rsid w:val="00F97373"/>
    <w:rsid w:val="00FA6854"/>
    <w:rsid w:val="00FB064F"/>
    <w:rsid w:val="00FB144F"/>
    <w:rsid w:val="00FB159A"/>
    <w:rsid w:val="00FB4D77"/>
    <w:rsid w:val="00FC497D"/>
    <w:rsid w:val="00FD076B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430BBF27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153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F32759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5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5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550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5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550"/>
    <w:rPr>
      <w:b/>
      <w:bCs/>
      <w:sz w:val="20"/>
      <w:szCs w:val="20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B559C4"/>
    <w:rPr>
      <w:i/>
      <w:iCs/>
    </w:rPr>
  </w:style>
  <w:style w:type="paragraph" w:customStyle="1" w:styleId="GrafikBeschriftungNL">
    <w:name w:val="Grafik Beschriftung NL"/>
    <w:basedOn w:val="FliesstextNL"/>
    <w:uiPriority w:val="99"/>
    <w:rsid w:val="00E06E94"/>
    <w:pPr>
      <w:jc w:val="left"/>
    </w:pPr>
    <w:rPr>
      <w:spacing w:val="-3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D40F-AA7F-4B54-A56F-4733E8BC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3</cp:revision>
  <cp:lastPrinted>2017-12-15T09:20:00Z</cp:lastPrinted>
  <dcterms:created xsi:type="dcterms:W3CDTF">2022-07-05T08:06:00Z</dcterms:created>
  <dcterms:modified xsi:type="dcterms:W3CDTF">2022-07-05T08:06:00Z</dcterms:modified>
</cp:coreProperties>
</file>