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4F6DA" w14:textId="77777777" w:rsidR="00F87749" w:rsidRDefault="00C86C02" w:rsidP="000C770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Berlin</w:t>
      </w:r>
      <w:r w:rsidR="00C7341F" w:rsidRPr="0054412E">
        <w:rPr>
          <w:rFonts w:ascii="Arial" w:hAnsi="Arial" w:cs="Arial"/>
          <w:b/>
        </w:rPr>
        <w:t xml:space="preserve">: </w:t>
      </w:r>
      <w:r w:rsidR="00C7341F">
        <w:rPr>
          <w:rFonts w:ascii="Arial" w:hAnsi="Arial" w:cs="Arial"/>
          <w:b/>
        </w:rPr>
        <w:t>Investmentmarkt 1.</w:t>
      </w:r>
      <w:r w:rsidR="00FA50A7">
        <w:rPr>
          <w:rFonts w:ascii="Arial" w:hAnsi="Arial" w:cs="Arial"/>
          <w:b/>
        </w:rPr>
        <w:t>-2.</w:t>
      </w:r>
      <w:r w:rsidR="00C7341F" w:rsidRPr="00B9324B">
        <w:rPr>
          <w:rFonts w:ascii="Arial" w:hAnsi="Arial" w:cs="Arial"/>
          <w:b/>
        </w:rPr>
        <w:t xml:space="preserve"> Quartal 20</w:t>
      </w:r>
      <w:r w:rsidR="00C7341F">
        <w:rPr>
          <w:rFonts w:ascii="Arial" w:hAnsi="Arial" w:cs="Arial"/>
          <w:b/>
        </w:rPr>
        <w:t>22</w:t>
      </w:r>
    </w:p>
    <w:p w14:paraId="71D11671" w14:textId="295C7519" w:rsidR="00E47C25" w:rsidRPr="00F87749" w:rsidRDefault="00C975AA" w:rsidP="000C770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Zinsen bremsen Transaktionsdynamik</w:t>
      </w:r>
    </w:p>
    <w:p w14:paraId="23842E4F" w14:textId="77777777" w:rsidR="00590903" w:rsidRPr="0090748B" w:rsidRDefault="00590903" w:rsidP="0059090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4E4CEFB" w14:textId="78AAFEC9" w:rsidR="00FF5F5A" w:rsidRPr="002B16FA" w:rsidRDefault="00FA50A7" w:rsidP="000C770D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Berlin</w:t>
      </w:r>
      <w:r w:rsidR="003B4CCF" w:rsidRPr="00063A33">
        <w:rPr>
          <w:rFonts w:ascii="Arial" w:hAnsi="Arial" w:cs="Arial"/>
          <w:b/>
          <w:sz w:val="20"/>
          <w:szCs w:val="20"/>
        </w:rPr>
        <w:t xml:space="preserve">, </w:t>
      </w:r>
      <w:r w:rsidR="002E24A0">
        <w:rPr>
          <w:rFonts w:ascii="Arial" w:hAnsi="Arial" w:cs="Arial"/>
          <w:b/>
          <w:sz w:val="20"/>
          <w:szCs w:val="20"/>
        </w:rPr>
        <w:t>7</w:t>
      </w:r>
      <w:r w:rsidR="003B4CCF" w:rsidRPr="00063A33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Juli</w:t>
      </w:r>
      <w:r w:rsidR="00C7341F">
        <w:rPr>
          <w:rFonts w:ascii="Arial" w:hAnsi="Arial" w:cs="Arial"/>
          <w:b/>
          <w:sz w:val="20"/>
          <w:szCs w:val="20"/>
        </w:rPr>
        <w:t xml:space="preserve"> 2022</w:t>
      </w:r>
      <w:r w:rsidR="003B4CCF" w:rsidRPr="00063A33">
        <w:rPr>
          <w:rFonts w:ascii="Arial" w:hAnsi="Arial" w:cs="Arial"/>
          <w:b/>
          <w:sz w:val="20"/>
          <w:szCs w:val="20"/>
        </w:rPr>
        <w:t xml:space="preserve"> </w:t>
      </w:r>
      <w:r w:rsidR="003B4CCF" w:rsidRPr="00687D00">
        <w:rPr>
          <w:rFonts w:ascii="Arial" w:hAnsi="Arial" w:cs="Arial"/>
          <w:b/>
          <w:sz w:val="20"/>
          <w:szCs w:val="20"/>
        </w:rPr>
        <w:t>–</w:t>
      </w:r>
      <w:r w:rsidR="00A00F36">
        <w:rPr>
          <w:rFonts w:ascii="Arial" w:hAnsi="Arial" w:cs="Arial"/>
          <w:b/>
          <w:sz w:val="20"/>
          <w:szCs w:val="20"/>
        </w:rPr>
        <w:t xml:space="preserve"> </w:t>
      </w:r>
      <w:r w:rsidR="00C975AA">
        <w:rPr>
          <w:rFonts w:ascii="Arial" w:hAnsi="Arial" w:cs="Arial"/>
          <w:sz w:val="20"/>
          <w:szCs w:val="20"/>
        </w:rPr>
        <w:t xml:space="preserve">Nach dem sehr starken Jahresauftakt hat sich das Marktgeschehen bei gewerblichen Immobilieninvestments in Berlin im </w:t>
      </w:r>
      <w:r w:rsidR="006D7DC5">
        <w:rPr>
          <w:rFonts w:ascii="Arial" w:hAnsi="Arial" w:cs="Arial"/>
          <w:sz w:val="20"/>
          <w:szCs w:val="20"/>
        </w:rPr>
        <w:t>2</w:t>
      </w:r>
      <w:r w:rsidR="00C975AA">
        <w:rPr>
          <w:rFonts w:ascii="Arial" w:hAnsi="Arial" w:cs="Arial"/>
          <w:sz w:val="20"/>
          <w:szCs w:val="20"/>
        </w:rPr>
        <w:t>. </w:t>
      </w:r>
      <w:r w:rsidR="006D7DC5">
        <w:rPr>
          <w:rFonts w:ascii="Arial" w:hAnsi="Arial" w:cs="Arial"/>
          <w:sz w:val="20"/>
          <w:szCs w:val="20"/>
        </w:rPr>
        <w:t xml:space="preserve">Quartal </w:t>
      </w:r>
      <w:r w:rsidR="00C975AA">
        <w:rPr>
          <w:rFonts w:ascii="Arial" w:hAnsi="Arial" w:cs="Arial"/>
          <w:sz w:val="20"/>
          <w:szCs w:val="20"/>
        </w:rPr>
        <w:t xml:space="preserve">2022 verlangsamt. Das Transaktionsvolumen (TAV) belief sich </w:t>
      </w:r>
      <w:r w:rsidR="006D7DC5">
        <w:rPr>
          <w:rFonts w:ascii="Arial" w:hAnsi="Arial" w:cs="Arial"/>
          <w:sz w:val="20"/>
          <w:szCs w:val="20"/>
        </w:rPr>
        <w:t xml:space="preserve">im 1. Halbjahr 2022 </w:t>
      </w:r>
      <w:r w:rsidR="00C975AA">
        <w:rPr>
          <w:rFonts w:ascii="Arial" w:hAnsi="Arial" w:cs="Arial"/>
          <w:sz w:val="20"/>
          <w:szCs w:val="20"/>
        </w:rPr>
        <w:t xml:space="preserve">auf </w:t>
      </w:r>
      <w:r w:rsidR="00491E10">
        <w:rPr>
          <w:rFonts w:ascii="Arial" w:hAnsi="Arial" w:cs="Arial"/>
          <w:sz w:val="20"/>
          <w:szCs w:val="20"/>
        </w:rPr>
        <w:t xml:space="preserve">rund </w:t>
      </w:r>
      <w:r w:rsidR="00C975AA">
        <w:rPr>
          <w:rFonts w:ascii="Arial" w:hAnsi="Arial" w:cs="Arial"/>
          <w:sz w:val="20"/>
          <w:szCs w:val="20"/>
        </w:rPr>
        <w:t>4,1 Mrd. €, was einem leichten Minus von 5 % gegenüber dem Vorjahreszeitraum entspricht.</w:t>
      </w:r>
      <w:r w:rsidR="008B5E36">
        <w:rPr>
          <w:rFonts w:ascii="Arial" w:hAnsi="Arial" w:cs="Arial"/>
          <w:sz w:val="20"/>
          <w:szCs w:val="20"/>
        </w:rPr>
        <w:t xml:space="preserve"> </w:t>
      </w:r>
      <w:r w:rsidR="008B5E36" w:rsidRPr="00E7735D">
        <w:rPr>
          <w:rFonts w:ascii="Arial" w:hAnsi="Arial" w:cs="Arial"/>
          <w:i/>
          <w:sz w:val="20"/>
          <w:szCs w:val="20"/>
        </w:rPr>
        <w:t>„</w:t>
      </w:r>
      <w:r w:rsidR="008B5E36">
        <w:rPr>
          <w:rFonts w:ascii="Arial" w:hAnsi="Arial" w:cs="Arial"/>
          <w:i/>
          <w:sz w:val="20"/>
          <w:szCs w:val="20"/>
        </w:rPr>
        <w:t xml:space="preserve">Aufgrund der gestiegenen Finanzierungskosten </w:t>
      </w:r>
      <w:r w:rsidR="0043721F">
        <w:rPr>
          <w:rFonts w:ascii="Arial" w:hAnsi="Arial" w:cs="Arial"/>
          <w:i/>
          <w:sz w:val="20"/>
          <w:szCs w:val="20"/>
        </w:rPr>
        <w:t xml:space="preserve">zeigen sich die Investoren zurückhaltender. </w:t>
      </w:r>
      <w:r w:rsidR="006D7DC5">
        <w:rPr>
          <w:rFonts w:ascii="Arial" w:hAnsi="Arial" w:cs="Arial"/>
          <w:i/>
          <w:sz w:val="20"/>
          <w:szCs w:val="20"/>
        </w:rPr>
        <w:t>Viele l</w:t>
      </w:r>
      <w:r w:rsidR="008B5E36">
        <w:rPr>
          <w:rFonts w:ascii="Arial" w:hAnsi="Arial" w:cs="Arial"/>
          <w:i/>
          <w:sz w:val="20"/>
          <w:szCs w:val="20"/>
        </w:rPr>
        <w:t xml:space="preserve">aufende Prozesse </w:t>
      </w:r>
      <w:r w:rsidR="00206F94">
        <w:rPr>
          <w:rFonts w:ascii="Arial" w:hAnsi="Arial" w:cs="Arial"/>
          <w:i/>
          <w:sz w:val="20"/>
          <w:szCs w:val="20"/>
        </w:rPr>
        <w:t>haben sich verlangsamt oder w</w:t>
      </w:r>
      <w:r w:rsidR="00925804">
        <w:rPr>
          <w:rFonts w:ascii="Arial" w:hAnsi="Arial" w:cs="Arial"/>
          <w:i/>
          <w:sz w:val="20"/>
          <w:szCs w:val="20"/>
        </w:rPr>
        <w:t>u</w:t>
      </w:r>
      <w:r w:rsidR="00206F94">
        <w:rPr>
          <w:rFonts w:ascii="Arial" w:hAnsi="Arial" w:cs="Arial"/>
          <w:i/>
          <w:sz w:val="20"/>
          <w:szCs w:val="20"/>
        </w:rPr>
        <w:t xml:space="preserve">rden </w:t>
      </w:r>
      <w:r w:rsidR="0043721F">
        <w:rPr>
          <w:rFonts w:ascii="Arial" w:hAnsi="Arial" w:cs="Arial"/>
          <w:i/>
          <w:sz w:val="20"/>
          <w:szCs w:val="20"/>
        </w:rPr>
        <w:t>auf die zweite Jahreshälfte geschoben</w:t>
      </w:r>
      <w:r w:rsidR="008B5E36">
        <w:rPr>
          <w:rFonts w:ascii="Arial" w:hAnsi="Arial" w:cs="Arial"/>
          <w:i/>
          <w:sz w:val="20"/>
          <w:szCs w:val="20"/>
        </w:rPr>
        <w:t>“</w:t>
      </w:r>
      <w:r w:rsidR="008B5E36" w:rsidRPr="00E7735D">
        <w:rPr>
          <w:rFonts w:ascii="Arial" w:hAnsi="Arial" w:cs="Arial"/>
          <w:i/>
          <w:sz w:val="20"/>
          <w:szCs w:val="20"/>
        </w:rPr>
        <w:t>,</w:t>
      </w:r>
      <w:r w:rsidR="008B5E36">
        <w:rPr>
          <w:rFonts w:ascii="Arial" w:hAnsi="Arial" w:cs="Arial"/>
          <w:sz w:val="20"/>
          <w:szCs w:val="20"/>
        </w:rPr>
        <w:t xml:space="preserve"> erläutert </w:t>
      </w:r>
      <w:r w:rsidR="008B5E36" w:rsidRPr="00E7735D">
        <w:rPr>
          <w:rFonts w:ascii="Arial" w:hAnsi="Arial" w:cs="Arial"/>
          <w:b/>
          <w:sz w:val="20"/>
          <w:szCs w:val="20"/>
        </w:rPr>
        <w:t>Holger Michaelis</w:t>
      </w:r>
      <w:r w:rsidR="008B5E36">
        <w:rPr>
          <w:rFonts w:ascii="Arial" w:hAnsi="Arial" w:cs="Arial"/>
          <w:sz w:val="20"/>
          <w:szCs w:val="20"/>
        </w:rPr>
        <w:t>, Geschäftsführer von Grossmann &amp; Berger, Mitglied von German Property Partners (GPP). Dass das TAV allein im 2. Quartal mit 1,8 Mrd. € d</w:t>
      </w:r>
      <w:r w:rsidR="0043721F">
        <w:rPr>
          <w:rFonts w:ascii="Arial" w:hAnsi="Arial" w:cs="Arial"/>
          <w:sz w:val="20"/>
          <w:szCs w:val="20"/>
        </w:rPr>
        <w:t>ennoch einen Wert oberhalb des Zehn</w:t>
      </w:r>
      <w:r w:rsidR="008B5E36">
        <w:rPr>
          <w:rFonts w:ascii="Arial" w:hAnsi="Arial" w:cs="Arial"/>
          <w:sz w:val="20"/>
          <w:szCs w:val="20"/>
        </w:rPr>
        <w:t xml:space="preserve">-Jahres-Mittels </w:t>
      </w:r>
      <w:r w:rsidR="0043721F">
        <w:rPr>
          <w:rFonts w:ascii="Arial" w:hAnsi="Arial" w:cs="Arial"/>
          <w:sz w:val="20"/>
          <w:szCs w:val="20"/>
        </w:rPr>
        <w:t xml:space="preserve">(1,7 Mrd. €) </w:t>
      </w:r>
      <w:r w:rsidR="008B5E36">
        <w:rPr>
          <w:rFonts w:ascii="Arial" w:hAnsi="Arial" w:cs="Arial"/>
          <w:sz w:val="20"/>
          <w:szCs w:val="20"/>
        </w:rPr>
        <w:t>erreichte, i</w:t>
      </w:r>
      <w:r w:rsidR="004B1B8E">
        <w:rPr>
          <w:rFonts w:ascii="Arial" w:hAnsi="Arial" w:cs="Arial"/>
          <w:sz w:val="20"/>
          <w:szCs w:val="20"/>
        </w:rPr>
        <w:t>st</w:t>
      </w:r>
      <w:r w:rsidR="008B5E36">
        <w:rPr>
          <w:rFonts w:ascii="Arial" w:hAnsi="Arial" w:cs="Arial"/>
          <w:sz w:val="20"/>
          <w:szCs w:val="20"/>
        </w:rPr>
        <w:t xml:space="preserve"> maßgeblich auf die </w:t>
      </w:r>
      <w:r w:rsidR="0043721F">
        <w:rPr>
          <w:rFonts w:ascii="Arial" w:hAnsi="Arial" w:cs="Arial"/>
          <w:sz w:val="20"/>
          <w:szCs w:val="20"/>
        </w:rPr>
        <w:t xml:space="preserve">großvolumige </w:t>
      </w:r>
      <w:r w:rsidR="004B1B8E">
        <w:rPr>
          <w:rFonts w:ascii="Arial" w:hAnsi="Arial" w:cs="Arial"/>
          <w:sz w:val="20"/>
          <w:szCs w:val="20"/>
        </w:rPr>
        <w:t>Anteilsü</w:t>
      </w:r>
      <w:r w:rsidR="008B5E36">
        <w:rPr>
          <w:rFonts w:ascii="Arial" w:hAnsi="Arial" w:cs="Arial"/>
          <w:sz w:val="20"/>
          <w:szCs w:val="20"/>
        </w:rPr>
        <w:t xml:space="preserve">bernahme des </w:t>
      </w:r>
      <w:r w:rsidR="009A0FA2">
        <w:rPr>
          <w:rFonts w:ascii="Arial" w:hAnsi="Arial" w:cs="Arial"/>
          <w:sz w:val="20"/>
          <w:szCs w:val="20"/>
        </w:rPr>
        <w:t>„</w:t>
      </w:r>
      <w:r w:rsidR="00F77F10">
        <w:rPr>
          <w:rFonts w:ascii="Arial" w:hAnsi="Arial" w:cs="Arial"/>
          <w:sz w:val="20"/>
          <w:szCs w:val="20"/>
        </w:rPr>
        <w:t>Sony Center</w:t>
      </w:r>
      <w:r w:rsidR="009A0FA2">
        <w:rPr>
          <w:rFonts w:ascii="Arial" w:hAnsi="Arial" w:cs="Arial"/>
          <w:sz w:val="20"/>
          <w:szCs w:val="20"/>
        </w:rPr>
        <w:t>“</w:t>
      </w:r>
      <w:r w:rsidR="00C0727C">
        <w:rPr>
          <w:rFonts w:ascii="Arial" w:hAnsi="Arial" w:cs="Arial"/>
          <w:sz w:val="20"/>
          <w:szCs w:val="20"/>
        </w:rPr>
        <w:t xml:space="preserve"> </w:t>
      </w:r>
      <w:r w:rsidR="008B5E36">
        <w:rPr>
          <w:rFonts w:ascii="Arial" w:hAnsi="Arial" w:cs="Arial"/>
          <w:sz w:val="20"/>
          <w:szCs w:val="20"/>
        </w:rPr>
        <w:t>durch</w:t>
      </w:r>
      <w:r w:rsidR="00643A54">
        <w:rPr>
          <w:rFonts w:ascii="Arial" w:hAnsi="Arial" w:cs="Arial"/>
          <w:sz w:val="20"/>
          <w:szCs w:val="20"/>
        </w:rPr>
        <w:t xml:space="preserve"> </w:t>
      </w:r>
      <w:r w:rsidR="00206F94">
        <w:rPr>
          <w:rFonts w:ascii="Arial" w:hAnsi="Arial" w:cs="Arial"/>
          <w:sz w:val="20"/>
          <w:szCs w:val="20"/>
        </w:rPr>
        <w:t>den</w:t>
      </w:r>
      <w:r w:rsidR="003F4284">
        <w:rPr>
          <w:rFonts w:ascii="Arial" w:hAnsi="Arial" w:cs="Arial"/>
          <w:sz w:val="20"/>
          <w:szCs w:val="20"/>
        </w:rPr>
        <w:t xml:space="preserve"> norwegischen Pensionsfond</w:t>
      </w:r>
      <w:r w:rsidR="008B5E36" w:rsidRPr="008B5E36">
        <w:rPr>
          <w:rFonts w:ascii="Arial" w:hAnsi="Arial" w:cs="Arial"/>
          <w:sz w:val="20"/>
          <w:szCs w:val="20"/>
        </w:rPr>
        <w:t xml:space="preserve"> </w:t>
      </w:r>
      <w:r w:rsidR="00C0727C">
        <w:rPr>
          <w:rFonts w:ascii="Arial" w:hAnsi="Arial" w:cs="Arial"/>
          <w:sz w:val="20"/>
          <w:szCs w:val="20"/>
        </w:rPr>
        <w:t>im Mai</w:t>
      </w:r>
      <w:r w:rsidR="008B5E36">
        <w:rPr>
          <w:rFonts w:ascii="Arial" w:hAnsi="Arial" w:cs="Arial"/>
          <w:sz w:val="20"/>
          <w:szCs w:val="20"/>
        </w:rPr>
        <w:t xml:space="preserve"> zurückzuführen. Die Portfolio-Transaktion schlug mit</w:t>
      </w:r>
      <w:r w:rsidR="00F77F10">
        <w:rPr>
          <w:rFonts w:ascii="Arial" w:hAnsi="Arial" w:cs="Arial"/>
          <w:sz w:val="20"/>
          <w:szCs w:val="20"/>
        </w:rPr>
        <w:t xml:space="preserve"> 677 Mio. € zu Buche. </w:t>
      </w:r>
      <w:r w:rsidR="009F1ABD">
        <w:rPr>
          <w:rFonts w:ascii="Arial" w:hAnsi="Arial" w:cs="Arial"/>
          <w:sz w:val="20"/>
          <w:szCs w:val="20"/>
        </w:rPr>
        <w:t>Mit Blick auf</w:t>
      </w:r>
      <w:bookmarkStart w:id="0" w:name="_GoBack"/>
      <w:bookmarkEnd w:id="0"/>
      <w:r w:rsidR="009F1ABD">
        <w:rPr>
          <w:rFonts w:ascii="Arial" w:hAnsi="Arial" w:cs="Arial"/>
          <w:sz w:val="20"/>
          <w:szCs w:val="20"/>
        </w:rPr>
        <w:t xml:space="preserve"> das 2. Halbjahr </w:t>
      </w:r>
      <w:r w:rsidR="0043721F">
        <w:rPr>
          <w:rFonts w:ascii="Arial" w:hAnsi="Arial" w:cs="Arial"/>
          <w:sz w:val="20"/>
          <w:szCs w:val="20"/>
        </w:rPr>
        <w:t>prognostizier</w:t>
      </w:r>
      <w:r w:rsidR="004B1B8E">
        <w:rPr>
          <w:rFonts w:ascii="Arial" w:hAnsi="Arial" w:cs="Arial"/>
          <w:sz w:val="20"/>
          <w:szCs w:val="20"/>
        </w:rPr>
        <w:t xml:space="preserve">t </w:t>
      </w:r>
      <w:r w:rsidR="004B1B8E" w:rsidRPr="004B1B8E">
        <w:rPr>
          <w:rFonts w:ascii="Arial" w:hAnsi="Arial" w:cs="Arial"/>
          <w:b/>
          <w:sz w:val="20"/>
          <w:szCs w:val="20"/>
        </w:rPr>
        <w:t>Michaelis</w:t>
      </w:r>
      <w:r w:rsidR="009F1ABD">
        <w:rPr>
          <w:rFonts w:ascii="Arial" w:hAnsi="Arial" w:cs="Arial"/>
          <w:sz w:val="20"/>
          <w:szCs w:val="20"/>
        </w:rPr>
        <w:t xml:space="preserve">: </w:t>
      </w:r>
      <w:r w:rsidR="000D3CAE">
        <w:rPr>
          <w:rFonts w:ascii="Arial" w:hAnsi="Arial" w:cs="Arial"/>
          <w:sz w:val="20"/>
          <w:szCs w:val="20"/>
        </w:rPr>
        <w:t>„</w:t>
      </w:r>
      <w:r w:rsidR="004B1B8E" w:rsidRPr="004B1B8E">
        <w:rPr>
          <w:rFonts w:ascii="Arial" w:hAnsi="Arial" w:cs="Arial"/>
          <w:i/>
          <w:sz w:val="20"/>
          <w:szCs w:val="20"/>
        </w:rPr>
        <w:t xml:space="preserve">Die Nachfrage der Investoren ist </w:t>
      </w:r>
      <w:r w:rsidR="00206F94">
        <w:rPr>
          <w:rFonts w:ascii="Arial" w:hAnsi="Arial" w:cs="Arial"/>
          <w:i/>
          <w:sz w:val="20"/>
          <w:szCs w:val="20"/>
        </w:rPr>
        <w:t>weiterhin vorhanden</w:t>
      </w:r>
      <w:r w:rsidR="004B1B8E" w:rsidRPr="004B1B8E">
        <w:rPr>
          <w:rFonts w:ascii="Arial" w:hAnsi="Arial" w:cs="Arial"/>
          <w:i/>
          <w:sz w:val="20"/>
          <w:szCs w:val="20"/>
        </w:rPr>
        <w:t xml:space="preserve">. </w:t>
      </w:r>
      <w:r w:rsidR="002B16FA" w:rsidRPr="004B1B8E">
        <w:rPr>
          <w:rFonts w:ascii="Arial" w:hAnsi="Arial" w:cs="Arial"/>
          <w:i/>
          <w:sz w:val="20"/>
          <w:szCs w:val="20"/>
        </w:rPr>
        <w:t>Wichtigste</w:t>
      </w:r>
      <w:r w:rsidR="00D42378">
        <w:rPr>
          <w:rFonts w:ascii="Arial" w:hAnsi="Arial" w:cs="Arial"/>
          <w:i/>
          <w:sz w:val="20"/>
          <w:szCs w:val="20"/>
        </w:rPr>
        <w:t>s</w:t>
      </w:r>
      <w:r w:rsidR="002B16FA" w:rsidRPr="00C975AA">
        <w:rPr>
          <w:rFonts w:ascii="Arial" w:hAnsi="Arial" w:cs="Arial"/>
          <w:i/>
          <w:sz w:val="20"/>
          <w:szCs w:val="20"/>
        </w:rPr>
        <w:t xml:space="preserve"> Kriteri</w:t>
      </w:r>
      <w:r w:rsidR="00D42378">
        <w:rPr>
          <w:rFonts w:ascii="Arial" w:hAnsi="Arial" w:cs="Arial"/>
          <w:i/>
          <w:sz w:val="20"/>
          <w:szCs w:val="20"/>
        </w:rPr>
        <w:t>um</w:t>
      </w:r>
      <w:r w:rsidR="002B16FA">
        <w:rPr>
          <w:rFonts w:ascii="Arial" w:hAnsi="Arial" w:cs="Arial"/>
          <w:i/>
          <w:sz w:val="20"/>
          <w:szCs w:val="20"/>
        </w:rPr>
        <w:t xml:space="preserve"> für eine Zunahme von Transaktionen sind positive Nachrichten</w:t>
      </w:r>
      <w:r w:rsidR="00206F94">
        <w:rPr>
          <w:rFonts w:ascii="Arial" w:hAnsi="Arial" w:cs="Arial"/>
          <w:i/>
          <w:sz w:val="20"/>
          <w:szCs w:val="20"/>
        </w:rPr>
        <w:t xml:space="preserve"> aus dem </w:t>
      </w:r>
      <w:r w:rsidR="002B16FA">
        <w:rPr>
          <w:rFonts w:ascii="Arial" w:hAnsi="Arial" w:cs="Arial"/>
          <w:i/>
          <w:sz w:val="20"/>
          <w:szCs w:val="20"/>
        </w:rPr>
        <w:t xml:space="preserve">volatilen Zinsmarkt und dem </w:t>
      </w:r>
      <w:r w:rsidR="00206F94">
        <w:rPr>
          <w:rFonts w:ascii="Arial" w:hAnsi="Arial" w:cs="Arial"/>
          <w:i/>
          <w:sz w:val="20"/>
          <w:szCs w:val="20"/>
        </w:rPr>
        <w:t xml:space="preserve">angespannten geopolitischen Umfeld, </w:t>
      </w:r>
      <w:r w:rsidR="005223FE">
        <w:rPr>
          <w:rFonts w:ascii="Arial" w:hAnsi="Arial" w:cs="Arial"/>
          <w:i/>
          <w:sz w:val="20"/>
          <w:szCs w:val="20"/>
        </w:rPr>
        <w:t xml:space="preserve">um Investoren </w:t>
      </w:r>
      <w:r w:rsidR="00206F94">
        <w:rPr>
          <w:rFonts w:ascii="Arial" w:hAnsi="Arial" w:cs="Arial"/>
          <w:i/>
          <w:sz w:val="20"/>
          <w:szCs w:val="20"/>
        </w:rPr>
        <w:t xml:space="preserve">wieder mehr Planungssicherheit </w:t>
      </w:r>
      <w:r w:rsidR="005223FE">
        <w:rPr>
          <w:rFonts w:ascii="Arial" w:hAnsi="Arial" w:cs="Arial"/>
          <w:i/>
          <w:sz w:val="20"/>
          <w:szCs w:val="20"/>
        </w:rPr>
        <w:t xml:space="preserve">für </w:t>
      </w:r>
      <w:r w:rsidR="00054DC9">
        <w:rPr>
          <w:rFonts w:ascii="Arial" w:hAnsi="Arial" w:cs="Arial"/>
          <w:i/>
          <w:sz w:val="20"/>
          <w:szCs w:val="20"/>
        </w:rPr>
        <w:t xml:space="preserve">ihre </w:t>
      </w:r>
      <w:r w:rsidR="005223FE">
        <w:rPr>
          <w:rFonts w:ascii="Arial" w:hAnsi="Arial" w:cs="Arial"/>
          <w:i/>
          <w:sz w:val="20"/>
          <w:szCs w:val="20"/>
        </w:rPr>
        <w:t xml:space="preserve">Investments zu </w:t>
      </w:r>
      <w:r w:rsidR="00206F94">
        <w:rPr>
          <w:rFonts w:ascii="Arial" w:hAnsi="Arial" w:cs="Arial"/>
          <w:i/>
          <w:sz w:val="20"/>
          <w:szCs w:val="20"/>
        </w:rPr>
        <w:t>ermöglichen</w:t>
      </w:r>
      <w:r w:rsidR="0043721F">
        <w:rPr>
          <w:rFonts w:ascii="Arial" w:hAnsi="Arial" w:cs="Arial"/>
          <w:i/>
          <w:sz w:val="20"/>
          <w:szCs w:val="20"/>
        </w:rPr>
        <w:t>.</w:t>
      </w:r>
      <w:r w:rsidR="000D3CAE">
        <w:rPr>
          <w:rFonts w:ascii="Arial" w:hAnsi="Arial" w:cs="Arial"/>
          <w:i/>
          <w:sz w:val="20"/>
          <w:szCs w:val="20"/>
        </w:rPr>
        <w:t>“</w:t>
      </w:r>
      <w:r w:rsidR="00C975AA">
        <w:rPr>
          <w:rFonts w:ascii="Arial" w:hAnsi="Arial" w:cs="Arial"/>
          <w:sz w:val="20"/>
          <w:szCs w:val="20"/>
        </w:rPr>
        <w:t xml:space="preserve">  </w:t>
      </w:r>
      <w:r w:rsidR="00A00F36">
        <w:rPr>
          <w:rFonts w:ascii="Arial" w:hAnsi="Arial" w:cs="Arial"/>
          <w:sz w:val="20"/>
          <w:szCs w:val="20"/>
        </w:rPr>
        <w:t xml:space="preserve"> </w:t>
      </w:r>
    </w:p>
    <w:p w14:paraId="6517AEE9" w14:textId="77777777" w:rsidR="00ED39A3" w:rsidRDefault="00ED39A3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89E0D37" w14:textId="77777777" w:rsidR="00710607" w:rsidRPr="00D35A6D" w:rsidRDefault="00710607" w:rsidP="00710607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D35A6D">
        <w:rPr>
          <w:rFonts w:ascii="Arial" w:hAnsi="Arial" w:cs="Arial"/>
          <w:b/>
          <w:sz w:val="20"/>
          <w:szCs w:val="20"/>
        </w:rPr>
        <w:t xml:space="preserve">Markt im Detail: </w:t>
      </w:r>
    </w:p>
    <w:p w14:paraId="570F53CD" w14:textId="77777777" w:rsidR="00D44421" w:rsidRDefault="00491E10" w:rsidP="00512345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</w:t>
      </w:r>
      <w:r w:rsidR="00512345">
        <w:rPr>
          <w:rFonts w:ascii="Arial" w:hAnsi="Arial" w:cs="Arial"/>
          <w:sz w:val="20"/>
          <w:szCs w:val="20"/>
        </w:rPr>
        <w:t xml:space="preserve">61 % </w:t>
      </w:r>
      <w:r w:rsidR="008F02E9">
        <w:rPr>
          <w:rFonts w:ascii="Arial" w:hAnsi="Arial" w:cs="Arial"/>
          <w:sz w:val="20"/>
          <w:szCs w:val="20"/>
        </w:rPr>
        <w:t xml:space="preserve">entfiel </w:t>
      </w:r>
      <w:r>
        <w:rPr>
          <w:rFonts w:ascii="Arial" w:hAnsi="Arial" w:cs="Arial"/>
          <w:sz w:val="20"/>
          <w:szCs w:val="20"/>
        </w:rPr>
        <w:t xml:space="preserve">ein Großteil des TAV </w:t>
      </w:r>
      <w:r w:rsidR="00512345">
        <w:rPr>
          <w:rFonts w:ascii="Arial" w:hAnsi="Arial" w:cs="Arial"/>
          <w:sz w:val="20"/>
          <w:szCs w:val="20"/>
        </w:rPr>
        <w:t xml:space="preserve">im 1. Halbjahr </w:t>
      </w:r>
      <w:r w:rsidR="008F02E9">
        <w:rPr>
          <w:rFonts w:ascii="Arial" w:hAnsi="Arial" w:cs="Arial"/>
          <w:sz w:val="20"/>
          <w:szCs w:val="20"/>
        </w:rPr>
        <w:t xml:space="preserve">auf Deals in der </w:t>
      </w:r>
      <w:r w:rsidR="008F02E9" w:rsidRPr="00AF7477">
        <w:rPr>
          <w:rFonts w:ascii="Arial" w:hAnsi="Arial" w:cs="Arial"/>
          <w:sz w:val="20"/>
          <w:szCs w:val="20"/>
          <w:u w:val="single"/>
        </w:rPr>
        <w:t>Größenklasse</w:t>
      </w:r>
      <w:r w:rsidR="008F02E9">
        <w:rPr>
          <w:rFonts w:ascii="Arial" w:hAnsi="Arial" w:cs="Arial"/>
          <w:sz w:val="20"/>
          <w:szCs w:val="20"/>
        </w:rPr>
        <w:t xml:space="preserve"> über 100 Mio. €. </w:t>
      </w:r>
      <w:r w:rsidR="00AE6AE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m 2. Quartal</w:t>
      </w:r>
      <w:r w:rsidR="00C072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trugen </w:t>
      </w:r>
      <w:r w:rsidR="00E65705">
        <w:rPr>
          <w:rFonts w:ascii="Arial" w:hAnsi="Arial" w:cs="Arial"/>
          <w:sz w:val="20"/>
          <w:szCs w:val="20"/>
        </w:rPr>
        <w:t xml:space="preserve">insbesondere </w:t>
      </w:r>
      <w:r>
        <w:rPr>
          <w:rFonts w:ascii="Arial" w:hAnsi="Arial" w:cs="Arial"/>
          <w:sz w:val="20"/>
          <w:szCs w:val="20"/>
        </w:rPr>
        <w:t xml:space="preserve">der </w:t>
      </w:r>
      <w:r w:rsidR="00C0727C">
        <w:rPr>
          <w:rFonts w:ascii="Arial" w:hAnsi="Arial" w:cs="Arial"/>
          <w:sz w:val="20"/>
          <w:szCs w:val="20"/>
        </w:rPr>
        <w:t>Anteilsverkauf des „Sony Center“ und</w:t>
      </w:r>
      <w:r w:rsidR="00512345">
        <w:rPr>
          <w:rFonts w:ascii="Arial" w:hAnsi="Arial" w:cs="Arial"/>
          <w:sz w:val="20"/>
          <w:szCs w:val="20"/>
        </w:rPr>
        <w:t xml:space="preserve"> das Gewerbe-Grundstück „</w:t>
      </w:r>
      <w:r w:rsidR="00512345" w:rsidRPr="00512345">
        <w:rPr>
          <w:rFonts w:ascii="Arial" w:hAnsi="Arial" w:cs="Arial"/>
          <w:sz w:val="20"/>
          <w:szCs w:val="20"/>
        </w:rPr>
        <w:t>Wriezener Karree</w:t>
      </w:r>
      <w:r w:rsidR="00512345">
        <w:rPr>
          <w:rFonts w:ascii="Arial" w:hAnsi="Arial" w:cs="Arial"/>
          <w:sz w:val="20"/>
          <w:szCs w:val="20"/>
        </w:rPr>
        <w:t>“</w:t>
      </w:r>
      <w:r w:rsidR="00AE6A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zur starken Präsenz dieser Größenklasse</w:t>
      </w:r>
      <w:r w:rsidR="00AE6AED">
        <w:rPr>
          <w:rFonts w:ascii="Arial" w:hAnsi="Arial" w:cs="Arial"/>
          <w:sz w:val="20"/>
          <w:szCs w:val="20"/>
        </w:rPr>
        <w:t xml:space="preserve"> bei.</w:t>
      </w:r>
    </w:p>
    <w:p w14:paraId="04EBB043" w14:textId="78734F1C" w:rsidR="008F02E9" w:rsidRDefault="00D44421" w:rsidP="00512345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D44421">
        <w:rPr>
          <w:rFonts w:ascii="Arial" w:hAnsi="Arial" w:cs="Arial"/>
          <w:sz w:val="20"/>
          <w:szCs w:val="20"/>
        </w:rPr>
        <w:t xml:space="preserve">Der Volumenanteil von </w:t>
      </w:r>
      <w:r w:rsidRPr="00D44421">
        <w:rPr>
          <w:rFonts w:ascii="Arial" w:hAnsi="Arial" w:cs="Arial"/>
          <w:sz w:val="20"/>
          <w:szCs w:val="20"/>
          <w:u w:val="single"/>
        </w:rPr>
        <w:t>Portfolioverkäufe</w:t>
      </w:r>
      <w:r>
        <w:rPr>
          <w:rFonts w:ascii="Arial" w:hAnsi="Arial" w:cs="Arial"/>
          <w:sz w:val="20"/>
          <w:szCs w:val="20"/>
          <w:u w:val="single"/>
        </w:rPr>
        <w:t>n</w:t>
      </w:r>
      <w:r w:rsidRPr="00D44421">
        <w:rPr>
          <w:rFonts w:ascii="Arial" w:hAnsi="Arial" w:cs="Arial"/>
          <w:sz w:val="20"/>
          <w:szCs w:val="20"/>
        </w:rPr>
        <w:t xml:space="preserve"> lag bei </w:t>
      </w:r>
      <w:r>
        <w:rPr>
          <w:rFonts w:ascii="Arial" w:hAnsi="Arial" w:cs="Arial"/>
          <w:sz w:val="20"/>
          <w:szCs w:val="20"/>
        </w:rPr>
        <w:t xml:space="preserve">33 % (Q2 2021: 12 %). Dazu zählt neben dem „Sony Center“ insbesondere die Übernahme von </w:t>
      </w:r>
      <w:proofErr w:type="spellStart"/>
      <w:r>
        <w:rPr>
          <w:rFonts w:ascii="Arial" w:hAnsi="Arial" w:cs="Arial"/>
          <w:sz w:val="20"/>
          <w:szCs w:val="20"/>
        </w:rPr>
        <w:t>a</w:t>
      </w:r>
      <w:r w:rsidRPr="00687D00">
        <w:rPr>
          <w:rFonts w:ascii="Arial" w:hAnsi="Arial" w:cs="Arial"/>
          <w:sz w:val="20"/>
          <w:szCs w:val="20"/>
        </w:rPr>
        <w:t>lstria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</w:t>
      </w:r>
      <w:r w:rsidRPr="00687D00">
        <w:rPr>
          <w:rFonts w:ascii="Arial" w:hAnsi="Arial" w:cs="Arial"/>
          <w:sz w:val="20"/>
          <w:szCs w:val="20"/>
        </w:rPr>
        <w:t>ffice</w:t>
      </w:r>
      <w:proofErr w:type="spellEnd"/>
      <w:r w:rsidRPr="00687D00">
        <w:rPr>
          <w:rFonts w:ascii="Arial" w:hAnsi="Arial" w:cs="Arial"/>
          <w:sz w:val="20"/>
          <w:szCs w:val="20"/>
        </w:rPr>
        <w:t xml:space="preserve"> durch </w:t>
      </w:r>
      <w:proofErr w:type="spellStart"/>
      <w:r w:rsidRPr="00687D00">
        <w:rPr>
          <w:rFonts w:ascii="Arial" w:hAnsi="Arial" w:cs="Arial"/>
          <w:sz w:val="20"/>
          <w:szCs w:val="20"/>
        </w:rPr>
        <w:t>Brookfield</w:t>
      </w:r>
      <w:proofErr w:type="spellEnd"/>
      <w:r w:rsidRPr="00687D00">
        <w:rPr>
          <w:rFonts w:ascii="Arial" w:hAnsi="Arial" w:cs="Arial"/>
          <w:sz w:val="20"/>
          <w:szCs w:val="20"/>
        </w:rPr>
        <w:t xml:space="preserve"> Properties</w:t>
      </w:r>
      <w:r>
        <w:rPr>
          <w:rFonts w:ascii="Arial" w:hAnsi="Arial" w:cs="Arial"/>
          <w:sz w:val="20"/>
          <w:szCs w:val="20"/>
        </w:rPr>
        <w:t xml:space="preserve"> im 1. Quartal.</w:t>
      </w:r>
    </w:p>
    <w:p w14:paraId="155296F9" w14:textId="1867A4FF" w:rsidR="0028566C" w:rsidRPr="0028566C" w:rsidRDefault="00AE6AED" w:rsidP="00327BE6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deutlichem Vorsprung waren </w:t>
      </w:r>
      <w:r w:rsidRPr="0028566C">
        <w:rPr>
          <w:rFonts w:ascii="Arial" w:hAnsi="Arial" w:cs="Arial"/>
          <w:sz w:val="20"/>
          <w:szCs w:val="20"/>
        </w:rPr>
        <w:t>Büro-Immobilien</w:t>
      </w:r>
      <w:r>
        <w:rPr>
          <w:rFonts w:ascii="Arial" w:hAnsi="Arial" w:cs="Arial"/>
          <w:sz w:val="20"/>
          <w:szCs w:val="20"/>
        </w:rPr>
        <w:t xml:space="preserve"> </w:t>
      </w:r>
      <w:r w:rsidRPr="0028566C">
        <w:rPr>
          <w:rFonts w:ascii="Arial" w:hAnsi="Arial" w:cs="Arial"/>
          <w:sz w:val="20"/>
          <w:szCs w:val="20"/>
        </w:rPr>
        <w:t>mit einem Anteil von 66 % (Q2 2021: 35 %)</w:t>
      </w:r>
      <w:r>
        <w:rPr>
          <w:rFonts w:ascii="Arial" w:hAnsi="Arial" w:cs="Arial"/>
          <w:sz w:val="20"/>
          <w:szCs w:val="20"/>
        </w:rPr>
        <w:t xml:space="preserve"> die s</w:t>
      </w:r>
      <w:r w:rsidR="000D3CAE" w:rsidRPr="0028566C">
        <w:rPr>
          <w:rFonts w:ascii="Arial" w:hAnsi="Arial" w:cs="Arial"/>
          <w:sz w:val="20"/>
          <w:szCs w:val="20"/>
        </w:rPr>
        <w:t xml:space="preserve">tärkste </w:t>
      </w:r>
      <w:r w:rsidR="000D3CAE" w:rsidRPr="008F02E9">
        <w:rPr>
          <w:rFonts w:ascii="Arial" w:hAnsi="Arial" w:cs="Arial"/>
          <w:sz w:val="20"/>
          <w:szCs w:val="20"/>
          <w:u w:val="single"/>
        </w:rPr>
        <w:t>Assetklasse</w:t>
      </w:r>
      <w:r w:rsidR="000D3CAE" w:rsidRPr="0028566C">
        <w:rPr>
          <w:rFonts w:ascii="Arial" w:hAnsi="Arial" w:cs="Arial"/>
          <w:sz w:val="20"/>
          <w:szCs w:val="20"/>
        </w:rPr>
        <w:t>.</w:t>
      </w:r>
      <w:r w:rsidR="0028566C" w:rsidRPr="0028566C">
        <w:rPr>
          <w:rFonts w:ascii="Arial" w:hAnsi="Arial" w:cs="Arial"/>
          <w:sz w:val="20"/>
          <w:szCs w:val="20"/>
        </w:rPr>
        <w:t xml:space="preserve"> Auf Platz zwei und drei folgten Hotels (10 %) und </w:t>
      </w:r>
      <w:r w:rsidR="0028566C">
        <w:rPr>
          <w:rFonts w:ascii="Arial" w:hAnsi="Arial" w:cs="Arial"/>
          <w:sz w:val="20"/>
          <w:szCs w:val="20"/>
        </w:rPr>
        <w:t>Mixed-</w:t>
      </w:r>
      <w:proofErr w:type="spellStart"/>
      <w:r w:rsidR="0028566C">
        <w:rPr>
          <w:rFonts w:ascii="Arial" w:hAnsi="Arial" w:cs="Arial"/>
          <w:sz w:val="20"/>
          <w:szCs w:val="20"/>
        </w:rPr>
        <w:t>use</w:t>
      </w:r>
      <w:proofErr w:type="spellEnd"/>
      <w:r w:rsidR="0028566C">
        <w:rPr>
          <w:rFonts w:ascii="Arial" w:hAnsi="Arial" w:cs="Arial"/>
          <w:sz w:val="20"/>
          <w:szCs w:val="20"/>
        </w:rPr>
        <w:t>-Objekte (8 %).</w:t>
      </w:r>
    </w:p>
    <w:p w14:paraId="5D35F6E6" w14:textId="2EF3C686" w:rsidR="002C3E12" w:rsidRDefault="002C3E12" w:rsidP="002C3E12">
      <w:pPr>
        <w:pStyle w:val="Listenabsatz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C0727C">
        <w:rPr>
          <w:rFonts w:ascii="Arial" w:hAnsi="Arial" w:cs="Arial"/>
          <w:sz w:val="20"/>
          <w:szCs w:val="20"/>
        </w:rPr>
        <w:t xml:space="preserve">uf </w:t>
      </w:r>
      <w:r w:rsidRPr="002C3E12">
        <w:rPr>
          <w:rFonts w:ascii="Arial" w:hAnsi="Arial" w:cs="Arial"/>
          <w:sz w:val="20"/>
          <w:szCs w:val="20"/>
          <w:u w:val="single"/>
        </w:rPr>
        <w:t>Verkäufer</w:t>
      </w:r>
      <w:r>
        <w:rPr>
          <w:rFonts w:ascii="Arial" w:hAnsi="Arial" w:cs="Arial"/>
          <w:sz w:val="20"/>
          <w:szCs w:val="20"/>
        </w:rPr>
        <w:t xml:space="preserve">seite dominierten </w:t>
      </w:r>
      <w:r w:rsidRPr="002C3E12">
        <w:rPr>
          <w:rFonts w:ascii="Arial" w:hAnsi="Arial" w:cs="Arial"/>
          <w:sz w:val="20"/>
          <w:szCs w:val="20"/>
        </w:rPr>
        <w:t>Börsennotierte Immobilieninvestment-AG/REIT</w:t>
      </w:r>
      <w:r>
        <w:rPr>
          <w:rFonts w:ascii="Arial" w:hAnsi="Arial" w:cs="Arial"/>
          <w:sz w:val="20"/>
          <w:szCs w:val="20"/>
        </w:rPr>
        <w:t>s mit 22 % TAV-Anteil das Umsatzgeschehen, gefolgt von Pensionskassen (18 %) und Projektentwicklern (13 %).</w:t>
      </w:r>
    </w:p>
    <w:p w14:paraId="28381301" w14:textId="2D3A052D" w:rsidR="002C3E12" w:rsidRDefault="002C3E12" w:rsidP="002C3E12">
      <w:pPr>
        <w:pStyle w:val="Listenabsatz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Auf </w:t>
      </w:r>
      <w:r w:rsidRPr="002C3E12">
        <w:rPr>
          <w:rFonts w:ascii="Arial" w:hAnsi="Arial" w:cs="Arial"/>
          <w:sz w:val="20"/>
          <w:szCs w:val="20"/>
          <w:u w:val="single"/>
        </w:rPr>
        <w:t>Käufer</w:t>
      </w:r>
      <w:r>
        <w:rPr>
          <w:rFonts w:ascii="Arial" w:hAnsi="Arial" w:cs="Arial"/>
          <w:sz w:val="20"/>
          <w:szCs w:val="20"/>
        </w:rPr>
        <w:t>seite waren Fondsmanager (25 %), Projektentwickler (15 %) und Pensionskassen/</w:t>
      </w:r>
      <w:r w:rsidRPr="002C3E12">
        <w:rPr>
          <w:rFonts w:ascii="Arial" w:hAnsi="Arial" w:cs="Arial"/>
          <w:sz w:val="20"/>
          <w:szCs w:val="20"/>
        </w:rPr>
        <w:t>Versorgungswerke</w:t>
      </w:r>
      <w:r>
        <w:rPr>
          <w:rFonts w:ascii="Arial" w:hAnsi="Arial" w:cs="Arial"/>
          <w:sz w:val="20"/>
          <w:szCs w:val="20"/>
        </w:rPr>
        <w:t xml:space="preserve"> (14 %) am stärksten vertreten. </w:t>
      </w:r>
      <w:r w:rsidR="00A83D73">
        <w:rPr>
          <w:rFonts w:ascii="Arial" w:hAnsi="Arial" w:cs="Arial"/>
          <w:sz w:val="20"/>
          <w:szCs w:val="20"/>
        </w:rPr>
        <w:t xml:space="preserve">Der außergewöhnlich hohe Anteil Letzterer ist auf den Anteilskauf des „Sony Center“ zurückzuführen. </w:t>
      </w:r>
    </w:p>
    <w:p w14:paraId="02CCD52A" w14:textId="48919F97" w:rsidR="000D3CAE" w:rsidRPr="007F468E" w:rsidRDefault="002C3E12" w:rsidP="002C3E12">
      <w:pPr>
        <w:pStyle w:val="Listenabsatz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F91F76">
        <w:rPr>
          <w:rFonts w:ascii="Arial" w:hAnsi="Arial" w:cs="Arial"/>
          <w:sz w:val="20"/>
          <w:szCs w:val="20"/>
          <w:u w:val="single"/>
        </w:rPr>
        <w:t>Internationale Käufer</w:t>
      </w:r>
      <w:r>
        <w:rPr>
          <w:rFonts w:ascii="Arial" w:hAnsi="Arial" w:cs="Arial"/>
          <w:sz w:val="20"/>
          <w:szCs w:val="20"/>
        </w:rPr>
        <w:t xml:space="preserve"> zeigten sich mit einem Volumenanteil von rund 71 % </w:t>
      </w:r>
      <w:r w:rsidR="00A83D73">
        <w:rPr>
          <w:rFonts w:ascii="Arial" w:hAnsi="Arial" w:cs="Arial"/>
          <w:sz w:val="20"/>
          <w:szCs w:val="20"/>
        </w:rPr>
        <w:t xml:space="preserve">erneut </w:t>
      </w:r>
      <w:r>
        <w:rPr>
          <w:rFonts w:ascii="Arial" w:hAnsi="Arial" w:cs="Arial"/>
          <w:sz w:val="20"/>
          <w:szCs w:val="20"/>
        </w:rPr>
        <w:t>sehr präsent am Berliner Investmentmarkt (</w:t>
      </w:r>
      <w:r w:rsidR="00512345">
        <w:rPr>
          <w:rFonts w:ascii="Arial" w:hAnsi="Arial" w:cs="Arial"/>
          <w:sz w:val="20"/>
          <w:szCs w:val="20"/>
        </w:rPr>
        <w:t>Q2 2021: 60 %).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073D1DA5" w14:textId="3C7D31E7" w:rsidR="00F77F10" w:rsidRDefault="00F77F10" w:rsidP="004B1B8E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746A51">
        <w:rPr>
          <w:rFonts w:ascii="Arial" w:hAnsi="Arial" w:cs="Arial"/>
          <w:sz w:val="20"/>
          <w:szCs w:val="20"/>
        </w:rPr>
        <w:t xml:space="preserve">Die </w:t>
      </w:r>
      <w:r w:rsidRPr="00512345">
        <w:rPr>
          <w:rFonts w:ascii="Arial" w:hAnsi="Arial" w:cs="Arial"/>
          <w:sz w:val="20"/>
          <w:szCs w:val="20"/>
          <w:u w:val="single"/>
        </w:rPr>
        <w:t>Spitzenrendite</w:t>
      </w:r>
      <w:r w:rsidRPr="00746A51">
        <w:rPr>
          <w:rFonts w:ascii="Arial" w:hAnsi="Arial" w:cs="Arial"/>
          <w:sz w:val="20"/>
          <w:szCs w:val="20"/>
        </w:rPr>
        <w:t xml:space="preserve"> für Büro</w:t>
      </w:r>
      <w:r>
        <w:rPr>
          <w:rFonts w:ascii="Arial" w:hAnsi="Arial" w:cs="Arial"/>
          <w:sz w:val="20"/>
          <w:szCs w:val="20"/>
        </w:rPr>
        <w:t>s (2,85 %)</w:t>
      </w:r>
      <w:r w:rsidR="004B1B8E">
        <w:rPr>
          <w:rFonts w:ascii="Arial" w:hAnsi="Arial" w:cs="Arial"/>
          <w:sz w:val="20"/>
          <w:szCs w:val="20"/>
        </w:rPr>
        <w:t xml:space="preserve"> und</w:t>
      </w:r>
      <w:r>
        <w:rPr>
          <w:rFonts w:ascii="Arial" w:hAnsi="Arial" w:cs="Arial"/>
          <w:sz w:val="20"/>
          <w:szCs w:val="20"/>
        </w:rPr>
        <w:t xml:space="preserve"> Geschäftshäuser (3,0 %) </w:t>
      </w:r>
      <w:r w:rsidR="004B1B8E">
        <w:rPr>
          <w:rFonts w:ascii="Arial" w:hAnsi="Arial" w:cs="Arial"/>
          <w:sz w:val="20"/>
          <w:szCs w:val="20"/>
        </w:rPr>
        <w:t xml:space="preserve">stieg im Vorjahresvergleich um 0,15 bzw. 0,2 %-Punkte leicht an, während sie für </w:t>
      </w:r>
      <w:r>
        <w:rPr>
          <w:rFonts w:ascii="Arial" w:hAnsi="Arial" w:cs="Arial"/>
          <w:sz w:val="20"/>
          <w:szCs w:val="20"/>
        </w:rPr>
        <w:t>Logistik</w:t>
      </w:r>
      <w:r w:rsidR="004B1B8E">
        <w:rPr>
          <w:rFonts w:ascii="Arial" w:hAnsi="Arial" w:cs="Arial"/>
          <w:sz w:val="20"/>
          <w:szCs w:val="20"/>
        </w:rPr>
        <w:t xml:space="preserve">objekte um 0,6 %-Punkte auf </w:t>
      </w:r>
      <w:r>
        <w:rPr>
          <w:rFonts w:ascii="Arial" w:hAnsi="Arial" w:cs="Arial"/>
          <w:sz w:val="20"/>
          <w:szCs w:val="20"/>
        </w:rPr>
        <w:t>3,2 %</w:t>
      </w:r>
      <w:r w:rsidR="004B1B8E">
        <w:rPr>
          <w:rFonts w:ascii="Arial" w:hAnsi="Arial" w:cs="Arial"/>
          <w:sz w:val="20"/>
          <w:szCs w:val="20"/>
        </w:rPr>
        <w:t xml:space="preserve"> sank</w:t>
      </w:r>
      <w:r>
        <w:rPr>
          <w:rFonts w:ascii="Arial" w:hAnsi="Arial" w:cs="Arial"/>
          <w:sz w:val="20"/>
          <w:szCs w:val="20"/>
        </w:rPr>
        <w:t xml:space="preserve">. </w:t>
      </w:r>
      <w:r w:rsidR="004B1B8E" w:rsidRPr="004B1B8E">
        <w:rPr>
          <w:rFonts w:ascii="Arial" w:hAnsi="Arial" w:cs="Arial"/>
          <w:sz w:val="20"/>
          <w:szCs w:val="20"/>
        </w:rPr>
        <w:t>Im Jahresverlauf ist auf</w:t>
      </w:r>
      <w:r w:rsidR="004B1B8E">
        <w:rPr>
          <w:rFonts w:ascii="Arial" w:hAnsi="Arial" w:cs="Arial"/>
          <w:sz w:val="20"/>
          <w:szCs w:val="20"/>
        </w:rPr>
        <w:t xml:space="preserve">grund des Zinsniveaus in allen Assetklassen mit einem </w:t>
      </w:r>
      <w:r w:rsidR="004B1B8E" w:rsidRPr="004B1B8E">
        <w:rPr>
          <w:rFonts w:ascii="Arial" w:hAnsi="Arial" w:cs="Arial"/>
          <w:sz w:val="20"/>
          <w:szCs w:val="20"/>
        </w:rPr>
        <w:t>Anstieg der Renditen zu rechnen.</w:t>
      </w:r>
      <w:r>
        <w:rPr>
          <w:rFonts w:ascii="Arial" w:hAnsi="Arial" w:cs="Arial"/>
          <w:sz w:val="20"/>
          <w:szCs w:val="20"/>
        </w:rPr>
        <w:t xml:space="preserve">    </w:t>
      </w:r>
    </w:p>
    <w:p w14:paraId="29F050BF" w14:textId="189B99D7" w:rsidR="002E24A0" w:rsidRDefault="002E24A0" w:rsidP="002E24A0">
      <w:p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</w:p>
    <w:p w14:paraId="246981EF" w14:textId="77777777" w:rsidR="002E24A0" w:rsidRPr="002E24A0" w:rsidRDefault="002E24A0" w:rsidP="002E24A0">
      <w:p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</w:p>
    <w:p w14:paraId="0795C973" w14:textId="2756AF0E" w:rsidR="00C7341F" w:rsidRPr="008F0C4C" w:rsidRDefault="00C7341F" w:rsidP="008F0C4C">
      <w:p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TableGrid2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3964"/>
        <w:gridCol w:w="993"/>
      </w:tblGrid>
      <w:tr w:rsidR="00C7341F" w:rsidRPr="006F49D0" w14:paraId="2F4A79AC" w14:textId="77777777" w:rsidTr="00CF0163">
        <w:trPr>
          <w:trHeight w:val="283"/>
        </w:trPr>
        <w:tc>
          <w:tcPr>
            <w:tcW w:w="3964" w:type="dxa"/>
            <w:shd w:val="clear" w:color="auto" w:fill="000000" w:themeFill="text1"/>
          </w:tcPr>
          <w:p w14:paraId="185DEA24" w14:textId="1BB84E6A" w:rsidR="00C7341F" w:rsidRPr="004712BA" w:rsidRDefault="00C7341F" w:rsidP="00C86C02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Investmentmarkt </w:t>
            </w:r>
            <w:r w:rsidRPr="00800E2C">
              <w:rPr>
                <w:rFonts w:ascii="Arial" w:hAnsi="Arial" w:cs="Arial"/>
                <w:b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86C02">
              <w:rPr>
                <w:rFonts w:ascii="Arial" w:hAnsi="Arial" w:cs="Arial"/>
                <w:b/>
                <w:sz w:val="20"/>
                <w:szCs w:val="20"/>
              </w:rPr>
              <w:t>Berlin</w:t>
            </w:r>
            <w:r>
              <w:t xml:space="preserve"> </w:t>
            </w:r>
            <w:r w:rsidRPr="00800E2C">
              <w:rPr>
                <w:rFonts w:ascii="Arial" w:hAnsi="Arial" w:cs="Arial"/>
                <w:b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993" w:type="dxa"/>
            <w:shd w:val="clear" w:color="auto" w:fill="000000" w:themeFill="text1"/>
          </w:tcPr>
          <w:p w14:paraId="65EC24BE" w14:textId="6D441DC6" w:rsidR="00C7341F" w:rsidRPr="004712BA" w:rsidRDefault="00C7341F" w:rsidP="00927886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Q</w:t>
            </w:r>
            <w:r>
              <w:rPr>
                <w:rFonts w:ascii="Arial" w:hAnsi="Arial" w:cs="Arial"/>
                <w:b/>
                <w:sz w:val="18"/>
                <w:szCs w:val="16"/>
              </w:rPr>
              <w:t>1</w:t>
            </w:r>
            <w:r w:rsidR="00B158A2">
              <w:rPr>
                <w:rFonts w:ascii="Arial" w:hAnsi="Arial" w:cs="Arial"/>
                <w:b/>
                <w:sz w:val="18"/>
                <w:szCs w:val="16"/>
              </w:rPr>
              <w:t>-2</w:t>
            </w:r>
          </w:p>
        </w:tc>
      </w:tr>
      <w:tr w:rsidR="00C7341F" w:rsidRPr="006F49D0" w14:paraId="42F788D0" w14:textId="77777777" w:rsidTr="00CF0163">
        <w:trPr>
          <w:trHeight w:val="193"/>
        </w:trPr>
        <w:tc>
          <w:tcPr>
            <w:tcW w:w="3964" w:type="dxa"/>
          </w:tcPr>
          <w:p w14:paraId="572A7D7F" w14:textId="77777777" w:rsidR="00C7341F" w:rsidRPr="004712BA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Transaktionsvolumen </w:t>
            </w:r>
            <w:r w:rsidRPr="00CF57DD">
              <w:rPr>
                <w:rFonts w:ascii="Arial" w:hAnsi="Arial" w:cs="Arial"/>
                <w:sz w:val="18"/>
                <w:szCs w:val="16"/>
              </w:rPr>
              <w:t>[</w:t>
            </w:r>
            <w:r w:rsidRPr="004712BA">
              <w:rPr>
                <w:rFonts w:ascii="Arial" w:hAnsi="Arial" w:cs="Arial"/>
                <w:sz w:val="18"/>
                <w:szCs w:val="16"/>
              </w:rPr>
              <w:t>Mio. €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993" w:type="dxa"/>
            <w:vAlign w:val="center"/>
          </w:tcPr>
          <w:p w14:paraId="141D4BF4" w14:textId="022C9202" w:rsidR="00C7341F" w:rsidRPr="00E771E0" w:rsidRDefault="00A32BC5" w:rsidP="00A32BC5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  <w:r w:rsidR="00384022">
              <w:rPr>
                <w:rFonts w:ascii="Arial" w:hAnsi="Arial" w:cs="Arial"/>
                <w:sz w:val="18"/>
                <w:szCs w:val="16"/>
              </w:rPr>
              <w:t>.</w:t>
            </w:r>
            <w:r>
              <w:rPr>
                <w:rFonts w:ascii="Arial" w:hAnsi="Arial" w:cs="Arial"/>
                <w:sz w:val="18"/>
                <w:szCs w:val="16"/>
              </w:rPr>
              <w:t>1</w:t>
            </w:r>
            <w:r w:rsidR="00384022">
              <w:rPr>
                <w:rFonts w:ascii="Arial" w:hAnsi="Arial" w:cs="Arial"/>
                <w:sz w:val="18"/>
                <w:szCs w:val="16"/>
              </w:rPr>
              <w:t>00</w:t>
            </w:r>
          </w:p>
        </w:tc>
      </w:tr>
      <w:tr w:rsidR="00C7341F" w:rsidRPr="006F49D0" w14:paraId="77D40A98" w14:textId="77777777" w:rsidTr="00CF0163">
        <w:trPr>
          <w:trHeight w:val="283"/>
        </w:trPr>
        <w:tc>
          <w:tcPr>
            <w:tcW w:w="3964" w:type="dxa"/>
          </w:tcPr>
          <w:p w14:paraId="2D485DBE" w14:textId="77777777" w:rsidR="00C7341F" w:rsidRPr="00A7575D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vAlign w:val="center"/>
          </w:tcPr>
          <w:p w14:paraId="4C41151E" w14:textId="3B692202" w:rsidR="00C7341F" w:rsidRPr="00E771E0" w:rsidRDefault="00A32BC5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-5</w:t>
            </w:r>
          </w:p>
        </w:tc>
      </w:tr>
      <w:tr w:rsidR="00C7341F" w:rsidRPr="006F49D0" w14:paraId="297EB5D3" w14:textId="77777777" w:rsidTr="00CF0163">
        <w:trPr>
          <w:trHeight w:val="283"/>
        </w:trPr>
        <w:tc>
          <w:tcPr>
            <w:tcW w:w="3964" w:type="dxa"/>
          </w:tcPr>
          <w:p w14:paraId="4DA1F0EA" w14:textId="77777777" w:rsidR="00C7341F" w:rsidRPr="00CF57DD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Anteil internationaler Investoren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vAlign w:val="center"/>
          </w:tcPr>
          <w:p w14:paraId="58A41321" w14:textId="7293359F" w:rsidR="00C7341F" w:rsidRPr="00E771E0" w:rsidRDefault="00A32BC5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71</w:t>
            </w:r>
          </w:p>
        </w:tc>
      </w:tr>
      <w:tr w:rsidR="00C7341F" w:rsidRPr="006F49D0" w14:paraId="7A04E1EC" w14:textId="77777777" w:rsidTr="00CF0163">
        <w:trPr>
          <w:trHeight w:val="283"/>
        </w:trPr>
        <w:tc>
          <w:tcPr>
            <w:tcW w:w="3964" w:type="dxa"/>
          </w:tcPr>
          <w:p w14:paraId="7D123B83" w14:textId="77777777" w:rsidR="00C7341F" w:rsidRPr="004B1B8E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B1B8E">
              <w:rPr>
                <w:rFonts w:ascii="Arial" w:hAnsi="Arial" w:cs="Arial"/>
                <w:b/>
                <w:sz w:val="18"/>
                <w:szCs w:val="16"/>
              </w:rPr>
              <w:t xml:space="preserve">Netto-Spitzenrendite Büro </w:t>
            </w:r>
            <w:r w:rsidRPr="004B1B8E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vAlign w:val="center"/>
          </w:tcPr>
          <w:p w14:paraId="3F8204F4" w14:textId="35C11A0A" w:rsidR="00C7341F" w:rsidRPr="004B1B8E" w:rsidRDefault="00384022" w:rsidP="00A32BC5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4B1B8E">
              <w:rPr>
                <w:rFonts w:ascii="Arial" w:hAnsi="Arial" w:cs="Arial"/>
                <w:sz w:val="18"/>
                <w:szCs w:val="16"/>
              </w:rPr>
              <w:t>2,</w:t>
            </w:r>
            <w:r w:rsidR="00A32BC5" w:rsidRPr="004B1B8E">
              <w:rPr>
                <w:rFonts w:ascii="Arial" w:hAnsi="Arial" w:cs="Arial"/>
                <w:sz w:val="18"/>
                <w:szCs w:val="16"/>
              </w:rPr>
              <w:t>85</w:t>
            </w:r>
          </w:p>
        </w:tc>
      </w:tr>
      <w:tr w:rsidR="00C7341F" w14:paraId="412D1554" w14:textId="77777777" w:rsidTr="00CF0163">
        <w:trPr>
          <w:trHeight w:val="283"/>
        </w:trPr>
        <w:tc>
          <w:tcPr>
            <w:tcW w:w="3964" w:type="dxa"/>
          </w:tcPr>
          <w:p w14:paraId="285C2069" w14:textId="77777777" w:rsidR="00C7341F" w:rsidRPr="004B1B8E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4B1B8E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4B1B8E">
              <w:rPr>
                <w:rFonts w:ascii="Arial" w:hAnsi="Arial" w:cs="Arial"/>
                <w:sz w:val="18"/>
                <w:szCs w:val="16"/>
              </w:rPr>
              <w:t>. Vorjahr [%-Pkt.]</w:t>
            </w:r>
          </w:p>
        </w:tc>
        <w:tc>
          <w:tcPr>
            <w:tcW w:w="993" w:type="dxa"/>
            <w:vAlign w:val="center"/>
          </w:tcPr>
          <w:p w14:paraId="7154116A" w14:textId="6A3F979D" w:rsidR="00C7341F" w:rsidRPr="004B1B8E" w:rsidRDefault="00A32BC5" w:rsidP="00A32BC5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4B1B8E">
              <w:rPr>
                <w:rFonts w:ascii="Arial" w:hAnsi="Arial" w:cs="Arial"/>
                <w:sz w:val="18"/>
                <w:szCs w:val="16"/>
              </w:rPr>
              <w:t>+</w:t>
            </w:r>
            <w:r w:rsidR="00384022" w:rsidRPr="004B1B8E">
              <w:rPr>
                <w:rFonts w:ascii="Arial" w:hAnsi="Arial" w:cs="Arial"/>
                <w:sz w:val="18"/>
                <w:szCs w:val="16"/>
              </w:rPr>
              <w:t>0,1</w:t>
            </w:r>
            <w:r w:rsidRPr="004B1B8E">
              <w:rPr>
                <w:rFonts w:ascii="Arial" w:hAnsi="Arial" w:cs="Arial"/>
                <w:sz w:val="18"/>
                <w:szCs w:val="16"/>
              </w:rPr>
              <w:t>5</w:t>
            </w:r>
          </w:p>
        </w:tc>
      </w:tr>
      <w:tr w:rsidR="00C7341F" w:rsidRPr="006F49D0" w14:paraId="1F3F0D4C" w14:textId="77777777" w:rsidTr="00CF0163">
        <w:trPr>
          <w:trHeight w:val="283"/>
        </w:trPr>
        <w:tc>
          <w:tcPr>
            <w:tcW w:w="3964" w:type="dxa"/>
          </w:tcPr>
          <w:p w14:paraId="7998213C" w14:textId="77777777" w:rsidR="00C7341F" w:rsidRPr="004B1B8E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B1B8E">
              <w:rPr>
                <w:rFonts w:ascii="Arial" w:hAnsi="Arial" w:cs="Arial"/>
                <w:b/>
                <w:sz w:val="18"/>
                <w:szCs w:val="16"/>
              </w:rPr>
              <w:t xml:space="preserve">Netto-Spitzenrendite Geschäftshäuser </w:t>
            </w:r>
            <w:r w:rsidRPr="004B1B8E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vAlign w:val="center"/>
          </w:tcPr>
          <w:p w14:paraId="5C400650" w14:textId="1CAA31B5" w:rsidR="00C7341F" w:rsidRPr="004B1B8E" w:rsidRDefault="00A32BC5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4B1B8E">
              <w:rPr>
                <w:rFonts w:ascii="Arial" w:hAnsi="Arial" w:cs="Arial"/>
                <w:sz w:val="18"/>
                <w:szCs w:val="16"/>
              </w:rPr>
              <w:t>3,0</w:t>
            </w:r>
          </w:p>
        </w:tc>
      </w:tr>
      <w:tr w:rsidR="00C7341F" w14:paraId="7E04E2D1" w14:textId="77777777" w:rsidTr="00CF0163">
        <w:trPr>
          <w:trHeight w:val="283"/>
        </w:trPr>
        <w:tc>
          <w:tcPr>
            <w:tcW w:w="3964" w:type="dxa"/>
          </w:tcPr>
          <w:p w14:paraId="50EDD51B" w14:textId="77777777" w:rsidR="00C7341F" w:rsidRPr="004B1B8E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4B1B8E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4B1B8E">
              <w:rPr>
                <w:rFonts w:ascii="Arial" w:hAnsi="Arial" w:cs="Arial"/>
                <w:sz w:val="18"/>
                <w:szCs w:val="16"/>
              </w:rPr>
              <w:t>. Vorjahr [%-Pkt.]</w:t>
            </w:r>
          </w:p>
        </w:tc>
        <w:tc>
          <w:tcPr>
            <w:tcW w:w="993" w:type="dxa"/>
            <w:vAlign w:val="center"/>
          </w:tcPr>
          <w:p w14:paraId="4F154500" w14:textId="26D95373" w:rsidR="00C7341F" w:rsidRPr="004B1B8E" w:rsidRDefault="00A32BC5" w:rsidP="00A32BC5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4B1B8E">
              <w:rPr>
                <w:rFonts w:ascii="Arial" w:hAnsi="Arial" w:cs="Arial"/>
                <w:sz w:val="18"/>
                <w:szCs w:val="16"/>
              </w:rPr>
              <w:t>+0</w:t>
            </w:r>
            <w:r w:rsidR="00384022" w:rsidRPr="004B1B8E">
              <w:rPr>
                <w:rFonts w:ascii="Arial" w:hAnsi="Arial" w:cs="Arial"/>
                <w:sz w:val="18"/>
                <w:szCs w:val="16"/>
              </w:rPr>
              <w:t>,</w:t>
            </w:r>
            <w:r w:rsidRPr="004B1B8E">
              <w:rPr>
                <w:rFonts w:ascii="Arial" w:hAnsi="Arial" w:cs="Arial"/>
                <w:sz w:val="18"/>
                <w:szCs w:val="16"/>
              </w:rPr>
              <w:t>2</w:t>
            </w:r>
          </w:p>
        </w:tc>
      </w:tr>
      <w:tr w:rsidR="00C7341F" w:rsidRPr="006F49D0" w14:paraId="661023F9" w14:textId="77777777" w:rsidTr="00CF0163">
        <w:trPr>
          <w:trHeight w:val="283"/>
        </w:trPr>
        <w:tc>
          <w:tcPr>
            <w:tcW w:w="3964" w:type="dxa"/>
          </w:tcPr>
          <w:p w14:paraId="1C7E799E" w14:textId="77777777" w:rsidR="00C7341F" w:rsidRPr="004B1B8E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B1B8E">
              <w:rPr>
                <w:rFonts w:ascii="Arial" w:hAnsi="Arial" w:cs="Arial"/>
                <w:b/>
                <w:sz w:val="18"/>
                <w:szCs w:val="16"/>
              </w:rPr>
              <w:t xml:space="preserve">Netto-Spitzenrendite Logistik </w:t>
            </w:r>
            <w:r w:rsidRPr="004B1B8E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vAlign w:val="center"/>
          </w:tcPr>
          <w:p w14:paraId="3B0C6875" w14:textId="151EC806" w:rsidR="00C7341F" w:rsidRPr="004B1B8E" w:rsidRDefault="00384022" w:rsidP="00A32BC5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4B1B8E">
              <w:rPr>
                <w:rFonts w:ascii="Arial" w:hAnsi="Arial" w:cs="Arial"/>
                <w:sz w:val="18"/>
                <w:szCs w:val="16"/>
              </w:rPr>
              <w:t>3,</w:t>
            </w:r>
            <w:r w:rsidR="00A32BC5" w:rsidRPr="004B1B8E">
              <w:rPr>
                <w:rFonts w:ascii="Arial" w:hAnsi="Arial" w:cs="Arial"/>
                <w:sz w:val="18"/>
                <w:szCs w:val="16"/>
              </w:rPr>
              <w:t>2</w:t>
            </w:r>
          </w:p>
        </w:tc>
      </w:tr>
      <w:tr w:rsidR="00C7341F" w14:paraId="63C42E15" w14:textId="77777777" w:rsidTr="00CF0163">
        <w:trPr>
          <w:trHeight w:val="283"/>
        </w:trPr>
        <w:tc>
          <w:tcPr>
            <w:tcW w:w="3964" w:type="dxa"/>
          </w:tcPr>
          <w:p w14:paraId="1440EEA3" w14:textId="77777777" w:rsidR="00C7341F" w:rsidRPr="004B1B8E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4B1B8E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4B1B8E">
              <w:rPr>
                <w:rFonts w:ascii="Arial" w:hAnsi="Arial" w:cs="Arial"/>
                <w:sz w:val="18"/>
                <w:szCs w:val="16"/>
              </w:rPr>
              <w:t>. Vorjahr [%-Pkt.]</w:t>
            </w:r>
          </w:p>
        </w:tc>
        <w:tc>
          <w:tcPr>
            <w:tcW w:w="993" w:type="dxa"/>
            <w:vAlign w:val="center"/>
          </w:tcPr>
          <w:p w14:paraId="1A0F9B44" w14:textId="7AB97A89" w:rsidR="00C7341F" w:rsidRPr="004B1B8E" w:rsidRDefault="00384022" w:rsidP="00A32BC5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4B1B8E">
              <w:rPr>
                <w:rFonts w:ascii="Arial" w:hAnsi="Arial" w:cs="Arial"/>
                <w:sz w:val="18"/>
                <w:szCs w:val="16"/>
              </w:rPr>
              <w:t>-0,</w:t>
            </w:r>
            <w:r w:rsidR="00A32BC5" w:rsidRPr="004B1B8E">
              <w:rPr>
                <w:rFonts w:ascii="Arial" w:hAnsi="Arial" w:cs="Arial"/>
                <w:sz w:val="18"/>
                <w:szCs w:val="16"/>
              </w:rPr>
              <w:t>6</w:t>
            </w:r>
          </w:p>
        </w:tc>
      </w:tr>
      <w:tr w:rsidR="00C7341F" w:rsidRPr="006F49D0" w14:paraId="07A2DDCA" w14:textId="77777777" w:rsidTr="00CF0163">
        <w:trPr>
          <w:trHeight w:val="283"/>
        </w:trPr>
        <w:tc>
          <w:tcPr>
            <w:tcW w:w="3964" w:type="dxa"/>
            <w:tcBorders>
              <w:bottom w:val="single" w:sz="4" w:space="0" w:color="auto"/>
            </w:tcBorders>
          </w:tcPr>
          <w:p w14:paraId="7828C62D" w14:textId="77777777" w:rsidR="00C7341F" w:rsidRPr="004B1B8E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B1B8E">
              <w:rPr>
                <w:rFonts w:ascii="Arial" w:hAnsi="Arial" w:cs="Arial"/>
                <w:b/>
                <w:sz w:val="18"/>
                <w:szCs w:val="16"/>
              </w:rPr>
              <w:t>Stärkste Assetklasse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F47916D" w14:textId="305F0C6A" w:rsidR="00C7341F" w:rsidRPr="004B1B8E" w:rsidRDefault="00384022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4B1B8E">
              <w:rPr>
                <w:rFonts w:ascii="Arial" w:hAnsi="Arial" w:cs="Arial"/>
                <w:sz w:val="18"/>
                <w:szCs w:val="16"/>
              </w:rPr>
              <w:t>Büro</w:t>
            </w:r>
          </w:p>
        </w:tc>
      </w:tr>
      <w:tr w:rsidR="00C7341F" w:rsidRPr="006F49D0" w14:paraId="6440AD70" w14:textId="77777777" w:rsidTr="00CF0163">
        <w:trPr>
          <w:trHeight w:val="283"/>
        </w:trPr>
        <w:tc>
          <w:tcPr>
            <w:tcW w:w="3964" w:type="dxa"/>
            <w:tcBorders>
              <w:bottom w:val="single" w:sz="4" w:space="0" w:color="auto"/>
            </w:tcBorders>
          </w:tcPr>
          <w:p w14:paraId="0E234409" w14:textId="77777777" w:rsidR="00C7341F" w:rsidRPr="004B1B8E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B1B8E">
              <w:rPr>
                <w:rFonts w:ascii="Arial" w:hAnsi="Arial" w:cs="Arial"/>
                <w:b/>
                <w:sz w:val="18"/>
                <w:szCs w:val="16"/>
              </w:rPr>
              <w:t xml:space="preserve">Stärkste Assetklasse </w:t>
            </w:r>
            <w:r w:rsidRPr="004B1B8E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9F5C2D7" w14:textId="4C4DD2EA" w:rsidR="00C7341F" w:rsidRPr="004B1B8E" w:rsidRDefault="00A32BC5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4B1B8E">
              <w:rPr>
                <w:rFonts w:ascii="Arial" w:hAnsi="Arial" w:cs="Arial"/>
                <w:sz w:val="18"/>
                <w:szCs w:val="16"/>
              </w:rPr>
              <w:t>66</w:t>
            </w:r>
          </w:p>
        </w:tc>
      </w:tr>
    </w:tbl>
    <w:p w14:paraId="57438FD8" w14:textId="6E9D095A" w:rsidR="00C7341F" w:rsidRDefault="002E24A0" w:rsidP="0090748B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E24A0">
        <w:rPr>
          <w:rFonts w:ascii="Arial" w:eastAsia="Arial" w:hAnsi="Arial" w:cs="Arial"/>
          <w:noProof/>
          <w:color w:val="000000" w:themeColor="text1"/>
          <w:sz w:val="20"/>
          <w:szCs w:val="20"/>
          <w:lang w:eastAsia="de-DE"/>
        </w:rPr>
        <w:drawing>
          <wp:inline distT="0" distB="0" distL="0" distR="0" wp14:anchorId="6DA87800" wp14:editId="3725587D">
            <wp:extent cx="2824304" cy="2009955"/>
            <wp:effectExtent l="19050" t="19050" r="14605" b="9525"/>
            <wp:docPr id="3" name="Grafik 3" descr="N:\Presse\5_PresseMITTEILUNGEN\Marktbericht Investment BERLIN\2022\2022 Q2\Grafiken\TAV_Berlin_2022Q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resse\5_PresseMITTEILUNGEN\Marktbericht Investment BERLIN\2022\2022 Q2\Grafiken\TAV_Berlin_2022Q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490" cy="205705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88A8E1A" w14:textId="09CF57CD" w:rsidR="00C86C02" w:rsidRDefault="00C86C02" w:rsidP="00C7341F">
      <w:pPr>
        <w:rPr>
          <w:rFonts w:ascii="Arial" w:hAnsi="Arial" w:cs="Arial"/>
          <w:b/>
          <w:sz w:val="20"/>
          <w:szCs w:val="20"/>
        </w:rPr>
      </w:pPr>
    </w:p>
    <w:p w14:paraId="076FF1A8" w14:textId="77777777" w:rsidR="002E24A0" w:rsidRDefault="002E24A0" w:rsidP="00C7341F">
      <w:pPr>
        <w:rPr>
          <w:rFonts w:ascii="Arial" w:hAnsi="Arial" w:cs="Arial"/>
          <w:b/>
          <w:sz w:val="20"/>
          <w:szCs w:val="20"/>
        </w:rPr>
      </w:pPr>
    </w:p>
    <w:p w14:paraId="4582D23C" w14:textId="14D6971D" w:rsidR="00C7341F" w:rsidRPr="00A0600B" w:rsidRDefault="00C7341F" w:rsidP="00C734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Ausgewählte bekannte Top-Transaktionen | Investmentmarkt </w:t>
      </w:r>
      <w:r w:rsidR="00C86C02">
        <w:rPr>
          <w:rFonts w:ascii="Arial" w:hAnsi="Arial" w:cs="Arial"/>
          <w:b/>
          <w:sz w:val="20"/>
          <w:szCs w:val="20"/>
        </w:rPr>
        <w:t>Berlin</w:t>
      </w:r>
      <w:r>
        <w:rPr>
          <w:rFonts w:ascii="Arial" w:hAnsi="Arial" w:cs="Arial"/>
          <w:b/>
          <w:sz w:val="20"/>
          <w:szCs w:val="20"/>
        </w:rPr>
        <w:t xml:space="preserve"> | 1.</w:t>
      </w:r>
      <w:r w:rsidR="00B158A2">
        <w:rPr>
          <w:rFonts w:ascii="Arial" w:hAnsi="Arial" w:cs="Arial"/>
          <w:b/>
          <w:sz w:val="20"/>
          <w:szCs w:val="20"/>
        </w:rPr>
        <w:t>-2.</w:t>
      </w:r>
      <w:r w:rsidRPr="00EE7FCA">
        <w:rPr>
          <w:rFonts w:ascii="Arial" w:hAnsi="Arial" w:cs="Arial"/>
          <w:b/>
          <w:sz w:val="20"/>
          <w:szCs w:val="20"/>
        </w:rPr>
        <w:t xml:space="preserve"> Quartal </w:t>
      </w:r>
      <w:r>
        <w:rPr>
          <w:rFonts w:ascii="Arial" w:hAnsi="Arial" w:cs="Arial"/>
          <w:b/>
          <w:sz w:val="20"/>
          <w:szCs w:val="20"/>
        </w:rPr>
        <w:t>202</w:t>
      </w:r>
      <w:r w:rsidR="002538F8">
        <w:rPr>
          <w:rFonts w:ascii="Arial" w:hAnsi="Arial" w:cs="Arial"/>
          <w:b/>
          <w:sz w:val="20"/>
          <w:szCs w:val="20"/>
        </w:rPr>
        <w:t>2</w:t>
      </w:r>
    </w:p>
    <w:tbl>
      <w:tblPr>
        <w:tblStyle w:val="TableGrid1"/>
        <w:tblpPr w:leftFromText="141" w:rightFromText="141" w:vertAnchor="text" w:horzAnchor="margin" w:tblpY="61"/>
        <w:tblW w:w="9776" w:type="dxa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1276"/>
        <w:gridCol w:w="1559"/>
        <w:gridCol w:w="1843"/>
        <w:gridCol w:w="1134"/>
      </w:tblGrid>
      <w:tr w:rsidR="00C7341F" w:rsidRPr="006F49D0" w14:paraId="4F21D6DF" w14:textId="77777777" w:rsidTr="00C975AA">
        <w:trPr>
          <w:trHeight w:val="567"/>
        </w:trPr>
        <w:tc>
          <w:tcPr>
            <w:tcW w:w="2547" w:type="dxa"/>
            <w:shd w:val="clear" w:color="auto" w:fill="000000" w:themeFill="text1"/>
            <w:vAlign w:val="center"/>
          </w:tcPr>
          <w:p w14:paraId="46C82216" w14:textId="77777777" w:rsidR="00C7341F" w:rsidRPr="00C7341F" w:rsidRDefault="00C7341F" w:rsidP="0012484F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Projekt / Objekt</w:t>
            </w:r>
          </w:p>
          <w:p w14:paraId="06D07B1D" w14:textId="77777777" w:rsidR="00C7341F" w:rsidRPr="00C7341F" w:rsidRDefault="00C7341F" w:rsidP="0012484F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Straße Nr.</w:t>
            </w:r>
          </w:p>
        </w:tc>
        <w:tc>
          <w:tcPr>
            <w:tcW w:w="1417" w:type="dxa"/>
            <w:shd w:val="clear" w:color="auto" w:fill="000000" w:themeFill="text1"/>
          </w:tcPr>
          <w:p w14:paraId="070FC834" w14:textId="62260587" w:rsidR="00C7341F" w:rsidRPr="00C7341F" w:rsidRDefault="0012484F" w:rsidP="0012484F">
            <w:pPr>
              <w:widowControl w:val="0"/>
              <w:spacing w:before="60" w:afterLines="60" w:after="14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br/>
            </w:r>
            <w:r w:rsidR="00C7341F"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Teilmarkt</w:t>
            </w:r>
          </w:p>
        </w:tc>
        <w:tc>
          <w:tcPr>
            <w:tcW w:w="1276" w:type="dxa"/>
            <w:shd w:val="clear" w:color="auto" w:fill="000000" w:themeFill="text1"/>
          </w:tcPr>
          <w:p w14:paraId="03801D01" w14:textId="1EDECB39" w:rsidR="00C7341F" w:rsidRPr="00C7341F" w:rsidRDefault="0012484F" w:rsidP="0012484F">
            <w:pPr>
              <w:widowControl w:val="0"/>
              <w:spacing w:before="60" w:afterLines="60" w:after="14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br/>
            </w:r>
            <w:r w:rsidR="00C7341F"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Asset-klasse</w:t>
            </w:r>
          </w:p>
        </w:tc>
        <w:tc>
          <w:tcPr>
            <w:tcW w:w="1559" w:type="dxa"/>
            <w:shd w:val="clear" w:color="auto" w:fill="000000" w:themeFill="text1"/>
            <w:vAlign w:val="center"/>
          </w:tcPr>
          <w:p w14:paraId="64E565FC" w14:textId="77777777" w:rsidR="00C7341F" w:rsidRPr="00C7341F" w:rsidRDefault="00C7341F" w:rsidP="0012484F">
            <w:pPr>
              <w:widowControl w:val="0"/>
              <w:spacing w:before="60" w:afterLines="60" w:after="14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Käufer</w:t>
            </w:r>
          </w:p>
        </w:tc>
        <w:tc>
          <w:tcPr>
            <w:tcW w:w="1843" w:type="dxa"/>
            <w:shd w:val="clear" w:color="auto" w:fill="000000" w:themeFill="text1"/>
            <w:vAlign w:val="center"/>
          </w:tcPr>
          <w:p w14:paraId="4F865E58" w14:textId="77777777" w:rsidR="00C7341F" w:rsidRPr="00C7341F" w:rsidRDefault="00C7341F" w:rsidP="0012484F">
            <w:pPr>
              <w:widowControl w:val="0"/>
              <w:spacing w:before="60" w:afterLines="60" w:after="14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Verkäufer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70DE4216" w14:textId="39935B56" w:rsidR="00C7341F" w:rsidRPr="00C7341F" w:rsidRDefault="00C7341F" w:rsidP="0012484F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Kauf</w:t>
            </w:r>
            <w:r w:rsidR="0012484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-</w:t>
            </w: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preis*</w:t>
            </w:r>
          </w:p>
          <w:p w14:paraId="199A4A51" w14:textId="77777777" w:rsidR="00C7341F" w:rsidRPr="00C7341F" w:rsidRDefault="00C7341F" w:rsidP="0012484F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color w:val="FFFFFF" w:themeColor="background1"/>
                <w:sz w:val="18"/>
                <w:szCs w:val="16"/>
              </w:rPr>
              <w:t>[ca. Mio. €]</w:t>
            </w:r>
          </w:p>
        </w:tc>
      </w:tr>
      <w:tr w:rsidR="00A32BC5" w:rsidRPr="00F2414C" w14:paraId="2F3AD57F" w14:textId="77777777" w:rsidTr="00C975AA">
        <w:trPr>
          <w:trHeight w:val="56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94DDE95" w14:textId="446DA720" w:rsidR="00A32BC5" w:rsidRDefault="00A32BC5" w:rsidP="00210B5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„Sony Center“,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Potsdamer Platz 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B60B805" w14:textId="4E774593" w:rsidR="00A32BC5" w:rsidRDefault="001E76C4" w:rsidP="009278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1E76C4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Potsdamer</w:t>
            </w:r>
            <w:proofErr w:type="spellEnd"/>
            <w:r w:rsidRPr="001E76C4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- / </w:t>
            </w:r>
            <w:proofErr w:type="spellStart"/>
            <w:r w:rsidRPr="001E76C4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Leipziger</w:t>
            </w:r>
            <w:proofErr w:type="spellEnd"/>
            <w:r w:rsidRPr="001E76C4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E76C4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Platz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8807301" w14:textId="378A4407" w:rsidR="00A32BC5" w:rsidRDefault="001E76C4" w:rsidP="009278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Büro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2C8C960" w14:textId="43E12DF5" w:rsidR="00A32BC5" w:rsidRPr="00210B56" w:rsidRDefault="001E76C4" w:rsidP="0012484F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76C4">
              <w:rPr>
                <w:rFonts w:ascii="Arial" w:hAnsi="Arial" w:cs="Arial"/>
                <w:sz w:val="18"/>
                <w:szCs w:val="18"/>
                <w:lang w:val="en-US"/>
              </w:rPr>
              <w:t>Norwegian Government Pension Fund Global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BE243D0" w14:textId="27D5C93F" w:rsidR="00A32BC5" w:rsidRPr="00210B56" w:rsidRDefault="001E76C4" w:rsidP="009278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76C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Oxford Properties/Madison International </w:t>
            </w:r>
            <w:proofErr w:type="spellStart"/>
            <w:r w:rsidRPr="001E76C4">
              <w:rPr>
                <w:rFonts w:ascii="Arial" w:hAnsi="Arial" w:cs="Arial"/>
                <w:color w:val="000000" w:themeColor="text1"/>
                <w:sz w:val="18"/>
                <w:szCs w:val="18"/>
              </w:rPr>
              <w:t>Realty</w:t>
            </w:r>
            <w:proofErr w:type="spellEnd"/>
            <w:r w:rsidR="002B16F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2505789" w14:textId="2D641C3B" w:rsidR="00A32BC5" w:rsidRDefault="001E76C4" w:rsidP="00927886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677</w:t>
            </w:r>
          </w:p>
        </w:tc>
      </w:tr>
      <w:tr w:rsidR="00E65705" w:rsidRPr="00F2414C" w14:paraId="17DE9172" w14:textId="77777777" w:rsidTr="00E65705">
        <w:trPr>
          <w:trHeight w:val="567"/>
        </w:trPr>
        <w:tc>
          <w:tcPr>
            <w:tcW w:w="2547" w:type="dxa"/>
            <w:shd w:val="clear" w:color="auto" w:fill="FFFFFF" w:themeFill="background1"/>
            <w:vAlign w:val="center"/>
          </w:tcPr>
          <w:p w14:paraId="7EA24246" w14:textId="3EA346D5" w:rsidR="00E65705" w:rsidRDefault="00E65705" w:rsidP="00E65705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„</w:t>
            </w:r>
            <w:r w:rsidRPr="00210B56">
              <w:rPr>
                <w:rFonts w:ascii="Arial" w:hAnsi="Arial" w:cs="Arial"/>
                <w:color w:val="000000" w:themeColor="text1"/>
                <w:sz w:val="18"/>
                <w:szCs w:val="18"/>
              </w:rPr>
              <w:t>Sheraton Berlin Grand Hotel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“,</w:t>
            </w:r>
            <w:r>
              <w:t xml:space="preserve"> </w:t>
            </w:r>
            <w:proofErr w:type="spellStart"/>
            <w:r w:rsidRPr="00210B56">
              <w:rPr>
                <w:rFonts w:ascii="Arial" w:hAnsi="Arial" w:cs="Arial"/>
                <w:color w:val="000000" w:themeColor="text1"/>
                <w:sz w:val="18"/>
                <w:szCs w:val="18"/>
              </w:rPr>
              <w:t>Lützowufer</w:t>
            </w:r>
            <w:proofErr w:type="spellEnd"/>
            <w:r w:rsidRPr="00210B5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1D56ABF" w14:textId="18E13731" w:rsidR="00E65705" w:rsidRDefault="00E65705" w:rsidP="00E65705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Kreuzberg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36CE9D7" w14:textId="130F162A" w:rsidR="00E65705" w:rsidRDefault="00E65705" w:rsidP="00E65705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Hotel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453CFBE" w14:textId="44D2080C" w:rsidR="00E65705" w:rsidRPr="001E76C4" w:rsidRDefault="00E65705" w:rsidP="00E65705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210B56">
              <w:rPr>
                <w:rFonts w:ascii="Arial" w:hAnsi="Arial" w:cs="Arial"/>
                <w:sz w:val="18"/>
                <w:szCs w:val="18"/>
                <w:lang w:val="en-US"/>
              </w:rPr>
              <w:t>Deutsche Finance International (DFI)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E55A8C7" w14:textId="488B9671" w:rsidR="00E65705" w:rsidRDefault="00E65705" w:rsidP="00E65705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0B56">
              <w:rPr>
                <w:rFonts w:ascii="Arial" w:hAnsi="Arial" w:cs="Arial"/>
                <w:color w:val="000000" w:themeColor="text1"/>
                <w:sz w:val="18"/>
                <w:szCs w:val="18"/>
              </w:rPr>
              <w:t>Archer Hotel Capital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38C4B1" w14:textId="2E173DFA" w:rsidR="00E65705" w:rsidRDefault="00E65705" w:rsidP="00E65705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116</w:t>
            </w:r>
          </w:p>
        </w:tc>
      </w:tr>
      <w:tr w:rsidR="00E65705" w:rsidRPr="00F2414C" w14:paraId="0E56877D" w14:textId="77777777" w:rsidTr="000B579C">
        <w:trPr>
          <w:trHeight w:val="56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A1F90BE" w14:textId="1C6C8EE4" w:rsidR="00E65705" w:rsidRDefault="00E65705" w:rsidP="00E65705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„</w:t>
            </w:r>
            <w:r w:rsidRPr="001E76C4">
              <w:rPr>
                <w:rFonts w:ascii="Arial" w:hAnsi="Arial" w:cs="Arial"/>
                <w:color w:val="000000" w:themeColor="text1"/>
                <w:sz w:val="18"/>
                <w:szCs w:val="18"/>
              </w:rPr>
              <w:t>Wriezener Karree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“,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1E76C4">
              <w:rPr>
                <w:rFonts w:ascii="Arial" w:hAnsi="Arial" w:cs="Arial"/>
                <w:color w:val="000000" w:themeColor="text1"/>
                <w:sz w:val="18"/>
                <w:szCs w:val="18"/>
              </w:rPr>
              <w:t>Wriezener Karree 15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800A628" w14:textId="0BB27CD9" w:rsidR="00E65705" w:rsidRDefault="00E65705" w:rsidP="00E65705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Friedrichshain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BF34445" w14:textId="596C5743" w:rsidR="00E65705" w:rsidRDefault="00E65705" w:rsidP="00E65705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Gewerbe-Grundstück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E8EC895" w14:textId="2C5C9BA7" w:rsidR="00E65705" w:rsidRPr="00210B56" w:rsidRDefault="00E65705" w:rsidP="00E65705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76C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Edge Technologies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6B1DAD7" w14:textId="07CBAA6E" w:rsidR="00E65705" w:rsidRPr="00210B56" w:rsidRDefault="002B16FA" w:rsidP="00E65705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Aroundtown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 w:rsidR="003F4284">
              <w:rPr>
                <w:rFonts w:ascii="Arial" w:hAnsi="Arial" w:cs="Arial"/>
                <w:color w:val="000000" w:themeColor="text1"/>
                <w:sz w:val="18"/>
                <w:szCs w:val="18"/>
              </w:rPr>
              <w:t>TLG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25345C" w14:textId="7826A29B" w:rsidR="00E65705" w:rsidRDefault="00727E22" w:rsidP="00E65705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vertraulich</w:t>
            </w:r>
          </w:p>
        </w:tc>
      </w:tr>
      <w:tr w:rsidR="00E65705" w:rsidRPr="006F49D0" w14:paraId="1B051247" w14:textId="77777777" w:rsidTr="00C975AA">
        <w:trPr>
          <w:trHeight w:val="56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F028991" w14:textId="56C29239" w:rsidR="00E65705" w:rsidRDefault="00E65705" w:rsidP="00E65705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„</w:t>
            </w:r>
            <w:r w:rsidRPr="00865D20">
              <w:rPr>
                <w:rFonts w:ascii="Arial" w:hAnsi="Arial" w:cs="Arial"/>
                <w:color w:val="000000" w:themeColor="text1"/>
                <w:sz w:val="18"/>
                <w:szCs w:val="18"/>
              </w:rPr>
              <w:t>Karstadt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Müllerstraße“,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Müllerstraße 25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F646714" w14:textId="322812CD" w:rsidR="00E65705" w:rsidRDefault="00E65705" w:rsidP="00E65705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Peripherie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-Nord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9D33737" w14:textId="200E0116" w:rsidR="00E65705" w:rsidRDefault="00E65705" w:rsidP="00E65705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Einzelhandel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6FA27BA" w14:textId="2F65A654" w:rsidR="00E65705" w:rsidRPr="00210B56" w:rsidRDefault="00E65705" w:rsidP="00E65705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865D2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Signa</w:t>
            </w:r>
            <w:proofErr w:type="spellEnd"/>
            <w:r w:rsidRPr="00865D2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Development Section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5D2CFE2" w14:textId="4423FF39" w:rsidR="00E65705" w:rsidRPr="00210B56" w:rsidRDefault="00E65705" w:rsidP="00E65705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5D20">
              <w:rPr>
                <w:rFonts w:ascii="Arial" w:hAnsi="Arial" w:cs="Arial"/>
                <w:color w:val="000000" w:themeColor="text1"/>
                <w:sz w:val="18"/>
                <w:szCs w:val="18"/>
              </w:rPr>
              <w:t>DC Values für Versicherung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37DC540" w14:textId="5BB3F141" w:rsidR="00E65705" w:rsidRDefault="00E65705" w:rsidP="00E65705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vertraulich</w:t>
            </w:r>
          </w:p>
        </w:tc>
      </w:tr>
      <w:tr w:rsidR="00E65705" w:rsidRPr="006F49D0" w14:paraId="0EE85ED5" w14:textId="77777777" w:rsidTr="00C975AA">
        <w:trPr>
          <w:trHeight w:val="567"/>
        </w:trPr>
        <w:tc>
          <w:tcPr>
            <w:tcW w:w="2547" w:type="dxa"/>
            <w:shd w:val="clear" w:color="auto" w:fill="auto"/>
            <w:vAlign w:val="center"/>
          </w:tcPr>
          <w:p w14:paraId="6B587E22" w14:textId="6AD17D87" w:rsidR="00E65705" w:rsidRPr="00210B56" w:rsidRDefault="00E65705" w:rsidP="00E65705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„</w:t>
            </w:r>
            <w:r w:rsidRPr="00593B27">
              <w:rPr>
                <w:rFonts w:ascii="Arial" w:hAnsi="Arial" w:cs="Arial"/>
                <w:color w:val="000000" w:themeColor="text1"/>
                <w:sz w:val="18"/>
                <w:szCs w:val="18"/>
              </w:rPr>
              <w:t>Galerie Lafayette Quartier 207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“, </w:t>
            </w:r>
            <w:r w:rsidRPr="00593B27">
              <w:rPr>
                <w:rFonts w:ascii="Arial" w:hAnsi="Arial" w:cs="Arial"/>
                <w:color w:val="000000" w:themeColor="text1"/>
                <w:sz w:val="18"/>
                <w:szCs w:val="18"/>
              </w:rPr>
              <w:t>Friedrichstraße 76, 78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EBC288" w14:textId="743D429B" w:rsidR="00E65705" w:rsidRDefault="00E65705" w:rsidP="00E65705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Berlin-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Mitte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B92AFB4" w14:textId="2A5FD6FE" w:rsidR="00E65705" w:rsidRDefault="00E65705" w:rsidP="00E65705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Büro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56B4D22" w14:textId="39C7A9B0" w:rsidR="00E65705" w:rsidRPr="00210B56" w:rsidRDefault="00E65705" w:rsidP="00E65705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0B5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Tishman</w:t>
            </w:r>
            <w:proofErr w:type="spellEnd"/>
            <w:r w:rsidRPr="00210B5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Speyer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7AC26F" w14:textId="3BC58F7E" w:rsidR="00E65705" w:rsidRPr="00712CE1" w:rsidRDefault="00E65705" w:rsidP="00E65705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0B56">
              <w:rPr>
                <w:rFonts w:ascii="Arial" w:hAnsi="Arial" w:cs="Arial"/>
                <w:color w:val="000000" w:themeColor="text1"/>
                <w:sz w:val="18"/>
                <w:szCs w:val="18"/>
              </w:rPr>
              <w:t>Allianz Real Estate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81CED5" w14:textId="251EA459" w:rsidR="00E65705" w:rsidRDefault="00E65705" w:rsidP="00E65705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vertraulich</w:t>
            </w:r>
          </w:p>
        </w:tc>
      </w:tr>
      <w:tr w:rsidR="00E65705" w:rsidRPr="006F49D0" w14:paraId="5AD234B7" w14:textId="77777777" w:rsidTr="00C975AA">
        <w:trPr>
          <w:trHeight w:val="567"/>
        </w:trPr>
        <w:tc>
          <w:tcPr>
            <w:tcW w:w="2547" w:type="dxa"/>
            <w:shd w:val="clear" w:color="auto" w:fill="auto"/>
            <w:vAlign w:val="center"/>
          </w:tcPr>
          <w:p w14:paraId="038AB8C1" w14:textId="5F5DFA84" w:rsidR="00E65705" w:rsidRPr="00210B56" w:rsidRDefault="00E65705" w:rsidP="00727E22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„</w:t>
            </w:r>
            <w:proofErr w:type="spellStart"/>
            <w:r w:rsidRPr="00210B56">
              <w:rPr>
                <w:rFonts w:ascii="Arial" w:hAnsi="Arial" w:cs="Arial"/>
                <w:color w:val="000000" w:themeColor="text1"/>
                <w:sz w:val="18"/>
                <w:szCs w:val="18"/>
              </w:rPr>
              <w:t>Ros</w:t>
            </w:r>
            <w:r w:rsidR="00727E22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“, </w:t>
            </w:r>
            <w:r>
              <w:t xml:space="preserve"> </w:t>
            </w:r>
            <w:r>
              <w:br/>
            </w:r>
            <w:r w:rsidRPr="00210B56">
              <w:rPr>
                <w:rFonts w:ascii="Arial" w:hAnsi="Arial" w:cs="Arial"/>
                <w:color w:val="000000" w:themeColor="text1"/>
                <w:sz w:val="18"/>
                <w:szCs w:val="18"/>
              </w:rPr>
              <w:t>Rosenthaler Straße 44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DE851C" w14:textId="4F6290EE" w:rsidR="00E65705" w:rsidRDefault="00E65705" w:rsidP="00E65705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Berlin-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Mitte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2A58630" w14:textId="214A921D" w:rsidR="00E65705" w:rsidRDefault="00E65705" w:rsidP="00E65705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Mixed-use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1996CF" w14:textId="44D4309C" w:rsidR="00E65705" w:rsidRPr="00210B56" w:rsidRDefault="00E65705" w:rsidP="00E65705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10B5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BVK-Values-</w:t>
            </w:r>
            <w:proofErr w:type="spellStart"/>
            <w:r w:rsidRPr="00210B5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Immobilienfonds</w:t>
            </w:r>
            <w:proofErr w:type="spellEnd"/>
            <w:r w:rsidRPr="00210B5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-CBD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BB65F4" w14:textId="1B59B4DB" w:rsidR="00E65705" w:rsidRPr="00712CE1" w:rsidRDefault="00E65705" w:rsidP="00E65705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0B56">
              <w:rPr>
                <w:rFonts w:ascii="Arial" w:hAnsi="Arial" w:cs="Arial"/>
                <w:color w:val="000000" w:themeColor="text1"/>
                <w:sz w:val="18"/>
                <w:szCs w:val="18"/>
              </w:rPr>
              <w:t>Values Real Estate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432AE9" w14:textId="5B7BE36A" w:rsidR="00E65705" w:rsidRDefault="00E65705" w:rsidP="00E65705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vertraulich</w:t>
            </w:r>
          </w:p>
        </w:tc>
      </w:tr>
    </w:tbl>
    <w:p w14:paraId="1643DBD5" w14:textId="31124693" w:rsidR="001E76C4" w:rsidRDefault="00C7341F" w:rsidP="001E76C4">
      <w:p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474C5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Pr="00B4679D">
        <w:rPr>
          <w:rFonts w:ascii="Arial" w:hAnsi="Arial" w:cs="Arial"/>
          <w:sz w:val="16"/>
          <w:szCs w:val="16"/>
        </w:rPr>
        <w:t>Die aufgeführten Kaufpreise ba</w:t>
      </w:r>
      <w:r>
        <w:rPr>
          <w:rFonts w:ascii="Arial" w:hAnsi="Arial" w:cs="Arial"/>
          <w:sz w:val="16"/>
          <w:szCs w:val="16"/>
        </w:rPr>
        <w:t xml:space="preserve">sieren auf öffentlich verfügbaren Angaben; </w:t>
      </w:r>
      <w:r w:rsidRPr="00B4679D">
        <w:rPr>
          <w:rFonts w:ascii="Arial" w:hAnsi="Arial" w:cs="Arial"/>
          <w:sz w:val="16"/>
          <w:szCs w:val="16"/>
        </w:rPr>
        <w:t xml:space="preserve">wo solche fehlen, sind </w:t>
      </w:r>
      <w:r>
        <w:rPr>
          <w:rFonts w:ascii="Arial" w:hAnsi="Arial" w:cs="Arial"/>
          <w:sz w:val="16"/>
          <w:szCs w:val="16"/>
        </w:rPr>
        <w:t xml:space="preserve">die </w:t>
      </w:r>
      <w:r w:rsidRPr="00B4679D">
        <w:rPr>
          <w:rFonts w:ascii="Arial" w:hAnsi="Arial" w:cs="Arial"/>
          <w:sz w:val="16"/>
          <w:szCs w:val="16"/>
        </w:rPr>
        <w:t>Kaufpreise geschätzt</w:t>
      </w:r>
      <w:r w:rsidR="001E76C4">
        <w:rPr>
          <w:rFonts w:ascii="Arial" w:hAnsi="Arial" w:cs="Arial"/>
          <w:sz w:val="16"/>
          <w:szCs w:val="16"/>
        </w:rPr>
        <w:t>;</w:t>
      </w:r>
      <w:r w:rsidR="001E76C4" w:rsidRPr="001E76C4">
        <w:rPr>
          <w:rFonts w:ascii="Arial" w:hAnsi="Arial" w:cs="Arial"/>
          <w:sz w:val="16"/>
          <w:szCs w:val="16"/>
        </w:rPr>
        <w:t xml:space="preserve"> </w:t>
      </w:r>
      <w:r w:rsidR="001E76C4">
        <w:rPr>
          <w:rFonts w:ascii="Arial" w:hAnsi="Arial" w:cs="Arial"/>
          <w:sz w:val="16"/>
          <w:szCs w:val="16"/>
        </w:rPr>
        <w:t>neue Deals/Deals aus jeweiligem Berichtsquartal sind grau hinterlegt</w:t>
      </w:r>
    </w:p>
    <w:p w14:paraId="38EB286B" w14:textId="108EF0DE" w:rsidR="00C7341F" w:rsidRDefault="00C7341F" w:rsidP="00C7341F">
      <w:pPr>
        <w:widowControl w:val="0"/>
        <w:spacing w:after="0"/>
        <w:rPr>
          <w:rFonts w:ascii="Arial" w:hAnsi="Arial" w:cs="Arial"/>
          <w:sz w:val="16"/>
          <w:szCs w:val="16"/>
        </w:rPr>
      </w:pPr>
    </w:p>
    <w:p w14:paraId="307A702E" w14:textId="77777777" w:rsidR="00C7341F" w:rsidRDefault="00C7341F" w:rsidP="0090748B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42E7059" w14:textId="2AC4F93F" w:rsidR="0090748B" w:rsidRDefault="0090748B" w:rsidP="0090748B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86C02">
        <w:rPr>
          <w:rFonts w:ascii="Arial" w:eastAsia="Arial" w:hAnsi="Arial" w:cs="Arial"/>
          <w:sz w:val="20"/>
          <w:szCs w:val="20"/>
        </w:rPr>
        <w:t xml:space="preserve">Der </w:t>
      </w:r>
      <w:hyperlink r:id="rId9" w:history="1">
        <w:r w:rsidRPr="00B158A2">
          <w:rPr>
            <w:rStyle w:val="Hyperlink"/>
            <w:rFonts w:ascii="Arial" w:hAnsi="Arial" w:cs="Arial"/>
            <w:snapToGrid w:val="0"/>
            <w:sz w:val="20"/>
            <w:szCs w:val="20"/>
          </w:rPr>
          <w:t xml:space="preserve">Marktbericht </w:t>
        </w:r>
        <w:r w:rsidR="0012484F" w:rsidRPr="00B158A2">
          <w:rPr>
            <w:rStyle w:val="Hyperlink"/>
            <w:rFonts w:ascii="Arial" w:hAnsi="Arial" w:cs="Arial"/>
            <w:snapToGrid w:val="0"/>
            <w:sz w:val="20"/>
            <w:szCs w:val="20"/>
          </w:rPr>
          <w:t xml:space="preserve">Investment </w:t>
        </w:r>
        <w:r w:rsidR="00C86C02" w:rsidRPr="00B158A2">
          <w:rPr>
            <w:rStyle w:val="Hyperlink"/>
            <w:rFonts w:ascii="Arial" w:hAnsi="Arial" w:cs="Arial"/>
            <w:snapToGrid w:val="0"/>
            <w:sz w:val="20"/>
            <w:szCs w:val="20"/>
          </w:rPr>
          <w:t>Berlin</w:t>
        </w:r>
        <w:r w:rsidR="00B158A2" w:rsidRPr="00B158A2">
          <w:rPr>
            <w:rStyle w:val="Hyperlink"/>
            <w:rFonts w:ascii="Arial" w:hAnsi="Arial" w:cs="Arial"/>
            <w:snapToGrid w:val="0"/>
            <w:sz w:val="20"/>
            <w:szCs w:val="20"/>
          </w:rPr>
          <w:t xml:space="preserve"> </w:t>
        </w:r>
        <w:r w:rsidR="0012484F" w:rsidRPr="00B158A2">
          <w:rPr>
            <w:rStyle w:val="Hyperlink"/>
            <w:rFonts w:ascii="Arial" w:hAnsi="Arial" w:cs="Arial"/>
            <w:snapToGrid w:val="0"/>
            <w:sz w:val="20"/>
            <w:szCs w:val="20"/>
          </w:rPr>
          <w:t>2022</w:t>
        </w:r>
        <w:r w:rsidR="00B158A2" w:rsidRPr="00B158A2">
          <w:rPr>
            <w:rStyle w:val="Hyperlink"/>
            <w:rFonts w:ascii="Arial" w:hAnsi="Arial" w:cs="Arial"/>
            <w:snapToGrid w:val="0"/>
            <w:sz w:val="20"/>
            <w:szCs w:val="20"/>
          </w:rPr>
          <w:t>/Q2</w:t>
        </w:r>
      </w:hyperlink>
      <w:r w:rsidR="0012484F" w:rsidRPr="003D69DE">
        <w:rPr>
          <w:rFonts w:ascii="Arial" w:eastAsia="Arial" w:hAnsi="Arial" w:cs="Arial"/>
          <w:sz w:val="20"/>
          <w:szCs w:val="20"/>
        </w:rPr>
        <w:t xml:space="preserve"> steht</w:t>
      </w:r>
      <w:r w:rsidRPr="003D69DE">
        <w:rPr>
          <w:rFonts w:ascii="Arial" w:eastAsia="Arial" w:hAnsi="Arial" w:cs="Arial"/>
          <w:sz w:val="20"/>
          <w:szCs w:val="20"/>
        </w:rPr>
        <w:t xml:space="preserve"> in</w:t>
      </w:r>
      <w:r w:rsidRPr="00C86C0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Kürze auf unserer </w:t>
      </w:r>
      <w:r w:rsidRPr="0012484F">
        <w:rPr>
          <w:rFonts w:ascii="Arial" w:eastAsia="Arial" w:hAnsi="Arial" w:cs="Arial"/>
          <w:sz w:val="20"/>
          <w:szCs w:val="20"/>
        </w:rPr>
        <w:t>Website zum Download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bereit.</w:t>
      </w:r>
    </w:p>
    <w:p w14:paraId="6498E5CA" w14:textId="77777777" w:rsidR="0090748B" w:rsidRDefault="0090748B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2900A69" w14:textId="77777777" w:rsidR="00B466DD" w:rsidRPr="0090748B" w:rsidRDefault="00B466DD" w:rsidP="00B466DD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90748B">
        <w:rPr>
          <w:rFonts w:ascii="Arial" w:hAnsi="Arial" w:cs="Arial"/>
          <w:b/>
          <w:sz w:val="16"/>
          <w:szCs w:val="16"/>
        </w:rPr>
        <w:t>Über Grossmann &amp; Berger</w:t>
      </w:r>
    </w:p>
    <w:p w14:paraId="5AEC3C7A" w14:textId="77777777" w:rsidR="00B466DD" w:rsidRPr="00521AA1" w:rsidRDefault="00B466DD" w:rsidP="00B466DD">
      <w:pPr>
        <w:spacing w:after="0" w:line="360" w:lineRule="auto"/>
        <w:rPr>
          <w:rFonts w:ascii="Arial" w:hAnsi="Arial" w:cs="Arial"/>
          <w:vanish/>
          <w:sz w:val="16"/>
          <w:szCs w:val="16"/>
          <w:specVanish/>
        </w:rPr>
      </w:pPr>
      <w:r w:rsidRPr="00521AA1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0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gehört zu den führenden Immobiliendienstleistern für den Verkauf und die Vermietung von Gewerbe- und Wohn-Immobilien.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napToGrid w:val="0"/>
          <w:sz w:val="16"/>
          <w:szCs w:val="16"/>
        </w:rPr>
        <w:t xml:space="preserve">Den Hauptsitz in Hamburg miteingerechnet, unterhält das Unternehmen 22 Standorte. Hierüber ist Grossmann &amp; Berger flächendeckend im norddeutschen Markt präsent. Über die seit Mai 2021 zum Unternehmen gehörenden Gesellschaften </w:t>
      </w:r>
      <w:hyperlink r:id="rId11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E &amp; G Real Estate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und </w:t>
      </w:r>
      <w:hyperlink r:id="rId12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E &amp; G Private Immobilien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ist Grossmann &amp; Berger auch in den südlichen Metropolregionen Stuttgart und München vertreten.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napToGrid w:val="0"/>
          <w:sz w:val="16"/>
          <w:szCs w:val="16"/>
        </w:rPr>
        <w:t>Rund 240 Mitarbeiter decken mit ihrer umfassenden Immobilienkompetenz das gesamte Branchen-Dienstleistungsspektrum ab. Bei ihrer Tätigkeit können sie auf mehr als 85 Jahre Unternehmenstradition zurückgreifen.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z w:val="16"/>
          <w:szCs w:val="16"/>
        </w:rPr>
        <w:t xml:space="preserve">Grossmann &amp; Berger ist ein </w:t>
      </w:r>
      <w:r w:rsidRPr="00521AA1">
        <w:rPr>
          <w:rFonts w:ascii="Arial" w:hAnsi="Arial" w:cs="Arial"/>
          <w:sz w:val="16"/>
          <w:szCs w:val="16"/>
        </w:rPr>
        <w:lastRenderedPageBreak/>
        <w:t xml:space="preserve">Beteiligungsunternehmen der HASPA-Gruppe und Gründungsmitglied des deutschlandweiten Gewerbeimmobiliennetzwerks </w:t>
      </w:r>
      <w:hyperlink r:id="rId13" w:history="1">
        <w:r w:rsidRPr="00521AA1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521AA1">
        <w:rPr>
          <w:rFonts w:ascii="Arial" w:hAnsi="Arial" w:cs="Arial"/>
          <w:sz w:val="16"/>
          <w:szCs w:val="16"/>
        </w:rPr>
        <w:t xml:space="preserve"> (GPP).</w:t>
      </w:r>
    </w:p>
    <w:p w14:paraId="33D90876" w14:textId="77777777" w:rsidR="00B466DD" w:rsidRPr="00521AA1" w:rsidRDefault="00B466DD" w:rsidP="00B466DD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28265F2D" w14:textId="77777777" w:rsidR="00B466DD" w:rsidRDefault="00B466DD" w:rsidP="00B466DD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631DFFB0" w14:textId="77777777" w:rsidR="00B466DD" w:rsidRDefault="00B466DD" w:rsidP="00B466DD">
      <w:pPr>
        <w:spacing w:after="0" w:line="360" w:lineRule="auto"/>
        <w:rPr>
          <w:rStyle w:val="Fett"/>
          <w:rFonts w:ascii="Arial" w:hAnsi="Arial" w:cs="Arial"/>
          <w:b w:val="0"/>
          <w:color w:val="000000" w:themeColor="text1"/>
          <w:sz w:val="20"/>
          <w:szCs w:val="20"/>
        </w:rPr>
      </w:pPr>
      <w:r w:rsidRPr="006225C9">
        <w:rPr>
          <w:rFonts w:ascii="Arial" w:hAnsi="Arial" w:cs="Arial"/>
          <w:sz w:val="16"/>
          <w:szCs w:val="16"/>
        </w:rPr>
        <w:t xml:space="preserve">Die </w:t>
      </w:r>
      <w:hyperlink r:id="rId14" w:history="1">
        <w:r w:rsidRPr="006225C9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6225C9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5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6225C9">
        <w:rPr>
          <w:rFonts w:ascii="Arial" w:hAnsi="Arial" w:cs="Arial"/>
          <w:sz w:val="16"/>
          <w:szCs w:val="16"/>
        </w:rPr>
        <w:t xml:space="preserve"> sowie die dazugehörigen </w:t>
      </w:r>
      <w:hyperlink r:id="rId16" w:history="1">
        <w:r w:rsidRPr="006225C9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6225C9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7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>
        <w:rPr>
          <w:rFonts w:ascii="Arial" w:hAnsi="Arial" w:cs="Arial"/>
          <w:sz w:val="16"/>
          <w:szCs w:val="16"/>
        </w:rPr>
        <w:t xml:space="preserve"> mit dem Betreff „Abmeldung aus Presseverteiler".</w:t>
      </w:r>
    </w:p>
    <w:p w14:paraId="4CECEBB6" w14:textId="7E7D937C" w:rsidR="00503D8C" w:rsidRPr="00712CE1" w:rsidRDefault="00503D8C" w:rsidP="00B747F3">
      <w:pPr>
        <w:spacing w:after="0" w:line="360" w:lineRule="auto"/>
        <w:rPr>
          <w:rFonts w:ascii="Arial" w:hAnsi="Arial" w:cs="Arial"/>
          <w:sz w:val="16"/>
          <w:szCs w:val="16"/>
        </w:rPr>
      </w:pPr>
    </w:p>
    <w:sectPr w:rsidR="00503D8C" w:rsidRPr="00712CE1" w:rsidSect="00D83CB7">
      <w:headerReference w:type="default" r:id="rId18"/>
      <w:footerReference w:type="default" r:id="rId19"/>
      <w:headerReference w:type="first" r:id="rId20"/>
      <w:footerReference w:type="first" r:id="rId21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0391B" w16cex:dateUtc="2022-03-31T12:28:00Z"/>
  <w16cex:commentExtensible w16cex:durableId="25F0394C" w16cex:dateUtc="2022-03-31T1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377545" w16cid:durableId="25F0391B"/>
  <w16cid:commentId w16cid:paraId="4A657374" w16cid:durableId="25F039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8BC0F" w14:textId="77777777" w:rsidR="00BC43AB" w:rsidRDefault="00BC43AB">
      <w:r>
        <w:separator/>
      </w:r>
    </w:p>
  </w:endnote>
  <w:endnote w:type="continuationSeparator" w:id="0">
    <w:p w14:paraId="72684366" w14:textId="77777777" w:rsidR="00BC43AB" w:rsidRDefault="00BC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10022" w14:textId="77777777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Pr="00D83CB7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B92005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(0)40/350 80 2-0 | www.grossmann-berger.de</w:t>
    </w:r>
  </w:p>
  <w:p w14:paraId="5E0EDDBC" w14:textId="4DE5794C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F00E7D">
      <w:rPr>
        <w:rStyle w:val="Seitenzahl"/>
        <w:rFonts w:ascii="Arial" w:hAnsi="Arial" w:cs="Arial"/>
        <w:noProof/>
        <w:color w:val="000000" w:themeColor="text1"/>
        <w:sz w:val="18"/>
        <w:szCs w:val="18"/>
      </w:rPr>
      <w:t>3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F00E7D">
      <w:rPr>
        <w:rStyle w:val="Seitenzahl"/>
        <w:rFonts w:ascii="Arial" w:hAnsi="Arial" w:cs="Arial"/>
        <w:noProof/>
        <w:color w:val="000000" w:themeColor="text1"/>
        <w:sz w:val="18"/>
        <w:szCs w:val="18"/>
      </w:rPr>
      <w:t>3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ECEE9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648292C5" wp14:editId="00457459">
          <wp:simplePos x="0" y="0"/>
          <wp:positionH relativeFrom="column">
            <wp:posOffset>-615315</wp:posOffset>
          </wp:positionH>
          <wp:positionV relativeFrom="page">
            <wp:posOffset>9457690</wp:posOffset>
          </wp:positionV>
          <wp:extent cx="7346950" cy="1140460"/>
          <wp:effectExtent l="0" t="0" r="6350" b="2540"/>
          <wp:wrapThrough wrapText="bothSides">
            <wp:wrapPolygon edited="0">
              <wp:start x="0" y="0"/>
              <wp:lineTo x="0" y="21287"/>
              <wp:lineTo x="21563" y="21287"/>
              <wp:lineTo x="21563" y="0"/>
              <wp:lineTo x="0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40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38A66" w14:textId="77777777" w:rsidR="00BC43AB" w:rsidRDefault="00BC43AB">
      <w:r>
        <w:separator/>
      </w:r>
    </w:p>
  </w:footnote>
  <w:footnote w:type="continuationSeparator" w:id="0">
    <w:p w14:paraId="4809C114" w14:textId="77777777" w:rsidR="00BC43AB" w:rsidRDefault="00BC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50661" w14:textId="77777777" w:rsidR="006138CB" w:rsidRPr="009E3ADA" w:rsidRDefault="00E5203C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C25E6F" wp14:editId="1DC9FE88">
              <wp:simplePos x="0" y="0"/>
              <wp:positionH relativeFrom="column">
                <wp:posOffset>-85469</wp:posOffset>
              </wp:positionH>
              <wp:positionV relativeFrom="paragraph">
                <wp:posOffset>22092</wp:posOffset>
              </wp:positionV>
              <wp:extent cx="4906370" cy="140398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637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D3993" w14:textId="470F6001" w:rsidR="00E5203C" w:rsidRPr="001E3456" w:rsidRDefault="00E5203C" w:rsidP="00E5203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D69D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Corinna Fühner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</w:t>
                          </w:r>
                          <w:r w:rsidR="00CE687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</w:t>
                          </w:r>
                          <w:r w:rsidR="003D69D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588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3D69D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.f</w:t>
                          </w:r>
                          <w:r w:rsidR="003D69D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uehner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C25E6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75pt;margin-top:1.75pt;width:386.3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" filled="f" stroked="f">
              <v:textbox style="mso-fit-shape-to-text:t">
                <w:txbxContent>
                  <w:p w14:paraId="038D3993" w14:textId="470F6001" w:rsidR="00E5203C" w:rsidRPr="001E3456" w:rsidRDefault="00E5203C" w:rsidP="00E5203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D69DE">
                      <w:rPr>
                        <w:rFonts w:ascii="Arial" w:hAnsi="Arial" w:cs="Arial"/>
                        <w:sz w:val="16"/>
                        <w:szCs w:val="16"/>
                      </w:rPr>
                      <w:t>Corinna Fühner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</w:t>
                    </w:r>
                    <w:r w:rsidR="00CE687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</w:t>
                    </w:r>
                    <w:r w:rsidR="003D69DE">
                      <w:rPr>
                        <w:rFonts w:ascii="Arial" w:hAnsi="Arial" w:cs="Arial"/>
                        <w:sz w:val="16"/>
                        <w:szCs w:val="16"/>
                      </w:rPr>
                      <w:t>588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3D69DE">
                      <w:rPr>
                        <w:rFonts w:ascii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.f</w:t>
                    </w:r>
                    <w:r w:rsidR="003D69DE">
                      <w:rPr>
                        <w:rFonts w:ascii="Arial" w:hAnsi="Arial" w:cs="Arial"/>
                        <w:sz w:val="16"/>
                        <w:szCs w:val="16"/>
                      </w:rPr>
                      <w:t>uehner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4672834A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6F632" w14:textId="77777777" w:rsidR="00D83CB7" w:rsidRDefault="00E5203C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FF3942" wp14:editId="1F9AD08A">
              <wp:simplePos x="0" y="0"/>
              <wp:positionH relativeFrom="column">
                <wp:posOffset>-78646</wp:posOffset>
              </wp:positionH>
              <wp:positionV relativeFrom="paragraph">
                <wp:posOffset>22092</wp:posOffset>
              </wp:positionV>
              <wp:extent cx="4947313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731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F569C" w14:textId="1C6A6DDD" w:rsidR="00E5203C" w:rsidRPr="001E3456" w:rsidRDefault="00E5203C" w:rsidP="00E5203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D69D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Corinna Fühner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</w:t>
                          </w:r>
                          <w:r w:rsidR="00CE687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</w:t>
                          </w:r>
                          <w:r w:rsidR="003D69D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588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3D69D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.f</w:t>
                          </w:r>
                          <w:r w:rsidR="003D69D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uehner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F39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.2pt;margin-top:1.75pt;width:389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" filled="f" stroked="f">
              <v:textbox style="mso-fit-shape-to-text:t">
                <w:txbxContent>
                  <w:p w14:paraId="341F569C" w14:textId="1C6A6DDD" w:rsidR="00E5203C" w:rsidRPr="001E3456" w:rsidRDefault="00E5203C" w:rsidP="00E5203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D69DE">
                      <w:rPr>
                        <w:rFonts w:ascii="Arial" w:hAnsi="Arial" w:cs="Arial"/>
                        <w:sz w:val="16"/>
                        <w:szCs w:val="16"/>
                      </w:rPr>
                      <w:t>Corinna Fühner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</w:t>
                    </w:r>
                    <w:r w:rsidR="00CE687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</w:t>
                    </w:r>
                    <w:r w:rsidR="003D69DE">
                      <w:rPr>
                        <w:rFonts w:ascii="Arial" w:hAnsi="Arial" w:cs="Arial"/>
                        <w:sz w:val="16"/>
                        <w:szCs w:val="16"/>
                      </w:rPr>
                      <w:t>588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3D69DE">
                      <w:rPr>
                        <w:rFonts w:ascii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.f</w:t>
                    </w:r>
                    <w:r w:rsidR="003D69DE">
                      <w:rPr>
                        <w:rFonts w:ascii="Arial" w:hAnsi="Arial" w:cs="Arial"/>
                        <w:sz w:val="16"/>
                        <w:szCs w:val="16"/>
                      </w:rPr>
                      <w:t>uehner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3FAFB734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065F13"/>
    <w:multiLevelType w:val="hybridMultilevel"/>
    <w:tmpl w:val="4D16C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305C1"/>
    <w:multiLevelType w:val="hybridMultilevel"/>
    <w:tmpl w:val="BD4E0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C6700"/>
    <w:multiLevelType w:val="hybridMultilevel"/>
    <w:tmpl w:val="58B0B62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F830F8"/>
    <w:multiLevelType w:val="hybridMultilevel"/>
    <w:tmpl w:val="CE54F1DE"/>
    <w:lvl w:ilvl="0" w:tplc="41F6EF16">
      <w:start w:val="28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6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7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FF56F7"/>
    <w:multiLevelType w:val="hybridMultilevel"/>
    <w:tmpl w:val="F8825B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8"/>
  </w:num>
  <w:num w:numId="14">
    <w:abstractNumId w:val="16"/>
  </w:num>
  <w:num w:numId="15">
    <w:abstractNumId w:val="17"/>
  </w:num>
  <w:num w:numId="16">
    <w:abstractNumId w:val="11"/>
  </w:num>
  <w:num w:numId="17">
    <w:abstractNumId w:val="14"/>
  </w:num>
  <w:num w:numId="18">
    <w:abstractNumId w:val="12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0598D"/>
    <w:rsid w:val="000159FE"/>
    <w:rsid w:val="000202AA"/>
    <w:rsid w:val="00022F16"/>
    <w:rsid w:val="00023D78"/>
    <w:rsid w:val="0003075C"/>
    <w:rsid w:val="00050080"/>
    <w:rsid w:val="00054DC9"/>
    <w:rsid w:val="00060743"/>
    <w:rsid w:val="00066796"/>
    <w:rsid w:val="000766D7"/>
    <w:rsid w:val="000B3315"/>
    <w:rsid w:val="000B579C"/>
    <w:rsid w:val="000C770D"/>
    <w:rsid w:val="000D3CAE"/>
    <w:rsid w:val="000D774D"/>
    <w:rsid w:val="000E03F3"/>
    <w:rsid w:val="000E120E"/>
    <w:rsid w:val="000F1B26"/>
    <w:rsid w:val="001029C4"/>
    <w:rsid w:val="00106F37"/>
    <w:rsid w:val="0011486D"/>
    <w:rsid w:val="00121E33"/>
    <w:rsid w:val="0012484F"/>
    <w:rsid w:val="00126550"/>
    <w:rsid w:val="001324D6"/>
    <w:rsid w:val="00135BD2"/>
    <w:rsid w:val="00142A67"/>
    <w:rsid w:val="00154825"/>
    <w:rsid w:val="00155DAF"/>
    <w:rsid w:val="0017516B"/>
    <w:rsid w:val="00176F1D"/>
    <w:rsid w:val="00190298"/>
    <w:rsid w:val="001922E2"/>
    <w:rsid w:val="001A2ABE"/>
    <w:rsid w:val="001A360C"/>
    <w:rsid w:val="001A5E9E"/>
    <w:rsid w:val="001B3575"/>
    <w:rsid w:val="001D0D74"/>
    <w:rsid w:val="001D14DA"/>
    <w:rsid w:val="001E6995"/>
    <w:rsid w:val="001E76C4"/>
    <w:rsid w:val="001F1513"/>
    <w:rsid w:val="001F6BCE"/>
    <w:rsid w:val="00202AE4"/>
    <w:rsid w:val="00205769"/>
    <w:rsid w:val="00206F94"/>
    <w:rsid w:val="00210B56"/>
    <w:rsid w:val="00212FEC"/>
    <w:rsid w:val="002131BB"/>
    <w:rsid w:val="0022086D"/>
    <w:rsid w:val="002220CB"/>
    <w:rsid w:val="00225F74"/>
    <w:rsid w:val="00227E31"/>
    <w:rsid w:val="00230F81"/>
    <w:rsid w:val="002538F8"/>
    <w:rsid w:val="00254C6F"/>
    <w:rsid w:val="00267947"/>
    <w:rsid w:val="00267E4A"/>
    <w:rsid w:val="0027266B"/>
    <w:rsid w:val="00281E80"/>
    <w:rsid w:val="002834B0"/>
    <w:rsid w:val="00283671"/>
    <w:rsid w:val="00284E27"/>
    <w:rsid w:val="0028566C"/>
    <w:rsid w:val="002A028B"/>
    <w:rsid w:val="002A1973"/>
    <w:rsid w:val="002B16FA"/>
    <w:rsid w:val="002B1F33"/>
    <w:rsid w:val="002C2392"/>
    <w:rsid w:val="002C3E12"/>
    <w:rsid w:val="002D1C5C"/>
    <w:rsid w:val="002D1E20"/>
    <w:rsid w:val="002E24A0"/>
    <w:rsid w:val="002E6860"/>
    <w:rsid w:val="002F0411"/>
    <w:rsid w:val="00325E2A"/>
    <w:rsid w:val="0034786C"/>
    <w:rsid w:val="003517C9"/>
    <w:rsid w:val="0035325B"/>
    <w:rsid w:val="003559FF"/>
    <w:rsid w:val="003577ED"/>
    <w:rsid w:val="00370000"/>
    <w:rsid w:val="00373507"/>
    <w:rsid w:val="0038230E"/>
    <w:rsid w:val="00382529"/>
    <w:rsid w:val="00384022"/>
    <w:rsid w:val="003A3481"/>
    <w:rsid w:val="003A75E8"/>
    <w:rsid w:val="003B42CD"/>
    <w:rsid w:val="003B4CCF"/>
    <w:rsid w:val="003C6AB4"/>
    <w:rsid w:val="003D69DE"/>
    <w:rsid w:val="003E099F"/>
    <w:rsid w:val="003F1645"/>
    <w:rsid w:val="003F4284"/>
    <w:rsid w:val="0040086D"/>
    <w:rsid w:val="004017D8"/>
    <w:rsid w:val="00406121"/>
    <w:rsid w:val="00411E03"/>
    <w:rsid w:val="004123B1"/>
    <w:rsid w:val="004303A1"/>
    <w:rsid w:val="004351E4"/>
    <w:rsid w:val="0043721F"/>
    <w:rsid w:val="00440DC9"/>
    <w:rsid w:val="0044622D"/>
    <w:rsid w:val="004506D2"/>
    <w:rsid w:val="00456F40"/>
    <w:rsid w:val="004609BD"/>
    <w:rsid w:val="004661EE"/>
    <w:rsid w:val="00466741"/>
    <w:rsid w:val="0047591A"/>
    <w:rsid w:val="004839BD"/>
    <w:rsid w:val="00491E10"/>
    <w:rsid w:val="004A2BEA"/>
    <w:rsid w:val="004A3C64"/>
    <w:rsid w:val="004A5AEA"/>
    <w:rsid w:val="004B09DE"/>
    <w:rsid w:val="004B1B8E"/>
    <w:rsid w:val="004B2FDA"/>
    <w:rsid w:val="004B480A"/>
    <w:rsid w:val="004C1FA6"/>
    <w:rsid w:val="004E339B"/>
    <w:rsid w:val="004E4562"/>
    <w:rsid w:val="004F077F"/>
    <w:rsid w:val="004F139A"/>
    <w:rsid w:val="005023DD"/>
    <w:rsid w:val="00503D8C"/>
    <w:rsid w:val="00512345"/>
    <w:rsid w:val="005223FE"/>
    <w:rsid w:val="00522B84"/>
    <w:rsid w:val="00531A7F"/>
    <w:rsid w:val="005428C5"/>
    <w:rsid w:val="00543C55"/>
    <w:rsid w:val="00546707"/>
    <w:rsid w:val="005554C7"/>
    <w:rsid w:val="00582B99"/>
    <w:rsid w:val="00590903"/>
    <w:rsid w:val="00593B27"/>
    <w:rsid w:val="005B0FC9"/>
    <w:rsid w:val="005B66D3"/>
    <w:rsid w:val="005C4556"/>
    <w:rsid w:val="005C5302"/>
    <w:rsid w:val="005E35CD"/>
    <w:rsid w:val="005E362E"/>
    <w:rsid w:val="005E4B48"/>
    <w:rsid w:val="005F6E2B"/>
    <w:rsid w:val="0061109D"/>
    <w:rsid w:val="00612AA0"/>
    <w:rsid w:val="006138CB"/>
    <w:rsid w:val="006224C4"/>
    <w:rsid w:val="006225EA"/>
    <w:rsid w:val="006261DF"/>
    <w:rsid w:val="00633B9C"/>
    <w:rsid w:val="00642074"/>
    <w:rsid w:val="00643A54"/>
    <w:rsid w:val="00656B29"/>
    <w:rsid w:val="00687D00"/>
    <w:rsid w:val="00695E58"/>
    <w:rsid w:val="006A1329"/>
    <w:rsid w:val="006A66F9"/>
    <w:rsid w:val="006D7DC5"/>
    <w:rsid w:val="006E4CF0"/>
    <w:rsid w:val="006E5F6E"/>
    <w:rsid w:val="00710607"/>
    <w:rsid w:val="00712CE1"/>
    <w:rsid w:val="00720DFF"/>
    <w:rsid w:val="007218C0"/>
    <w:rsid w:val="00727E22"/>
    <w:rsid w:val="00762CC5"/>
    <w:rsid w:val="0076540A"/>
    <w:rsid w:val="00781CBD"/>
    <w:rsid w:val="00783517"/>
    <w:rsid w:val="007906B4"/>
    <w:rsid w:val="007A4FCB"/>
    <w:rsid w:val="007A7F58"/>
    <w:rsid w:val="007C013D"/>
    <w:rsid w:val="007E759D"/>
    <w:rsid w:val="007F49FD"/>
    <w:rsid w:val="00812471"/>
    <w:rsid w:val="008143C6"/>
    <w:rsid w:val="008261A5"/>
    <w:rsid w:val="008314AD"/>
    <w:rsid w:val="0083382E"/>
    <w:rsid w:val="00855325"/>
    <w:rsid w:val="00862E34"/>
    <w:rsid w:val="00865915"/>
    <w:rsid w:val="00865D20"/>
    <w:rsid w:val="00871832"/>
    <w:rsid w:val="00886CCE"/>
    <w:rsid w:val="00896B33"/>
    <w:rsid w:val="008A62FB"/>
    <w:rsid w:val="008A77B7"/>
    <w:rsid w:val="008B0F67"/>
    <w:rsid w:val="008B5E36"/>
    <w:rsid w:val="008C608D"/>
    <w:rsid w:val="008E461D"/>
    <w:rsid w:val="008F02E9"/>
    <w:rsid w:val="008F08E5"/>
    <w:rsid w:val="008F0C4C"/>
    <w:rsid w:val="008F0EA4"/>
    <w:rsid w:val="008F5213"/>
    <w:rsid w:val="009066C5"/>
    <w:rsid w:val="0090748B"/>
    <w:rsid w:val="00920C9C"/>
    <w:rsid w:val="00922754"/>
    <w:rsid w:val="00925781"/>
    <w:rsid w:val="00925804"/>
    <w:rsid w:val="009258D0"/>
    <w:rsid w:val="00935AB3"/>
    <w:rsid w:val="00946BF0"/>
    <w:rsid w:val="009734CE"/>
    <w:rsid w:val="00977A88"/>
    <w:rsid w:val="00980EDB"/>
    <w:rsid w:val="009864F4"/>
    <w:rsid w:val="0099478D"/>
    <w:rsid w:val="00996E1A"/>
    <w:rsid w:val="009A0FA2"/>
    <w:rsid w:val="009A4414"/>
    <w:rsid w:val="009D24DA"/>
    <w:rsid w:val="009D5738"/>
    <w:rsid w:val="009D5D75"/>
    <w:rsid w:val="009F1ABD"/>
    <w:rsid w:val="009F32A2"/>
    <w:rsid w:val="009F54CE"/>
    <w:rsid w:val="00A00F36"/>
    <w:rsid w:val="00A06264"/>
    <w:rsid w:val="00A1639A"/>
    <w:rsid w:val="00A202C5"/>
    <w:rsid w:val="00A215C9"/>
    <w:rsid w:val="00A32BC5"/>
    <w:rsid w:val="00A4056C"/>
    <w:rsid w:val="00A5364B"/>
    <w:rsid w:val="00A546DC"/>
    <w:rsid w:val="00A615E0"/>
    <w:rsid w:val="00A65E2B"/>
    <w:rsid w:val="00A74AA0"/>
    <w:rsid w:val="00A7546D"/>
    <w:rsid w:val="00A77100"/>
    <w:rsid w:val="00A83D73"/>
    <w:rsid w:val="00A97481"/>
    <w:rsid w:val="00AA4D97"/>
    <w:rsid w:val="00AD17B7"/>
    <w:rsid w:val="00AE6AED"/>
    <w:rsid w:val="00AF1DF7"/>
    <w:rsid w:val="00AF7477"/>
    <w:rsid w:val="00B077D5"/>
    <w:rsid w:val="00B158A2"/>
    <w:rsid w:val="00B200E4"/>
    <w:rsid w:val="00B356BB"/>
    <w:rsid w:val="00B35B6D"/>
    <w:rsid w:val="00B35DC6"/>
    <w:rsid w:val="00B466DD"/>
    <w:rsid w:val="00B51699"/>
    <w:rsid w:val="00B53FAF"/>
    <w:rsid w:val="00B63153"/>
    <w:rsid w:val="00B6527D"/>
    <w:rsid w:val="00B70B17"/>
    <w:rsid w:val="00B73B3A"/>
    <w:rsid w:val="00B74507"/>
    <w:rsid w:val="00B747F3"/>
    <w:rsid w:val="00B75718"/>
    <w:rsid w:val="00B75E7E"/>
    <w:rsid w:val="00B92005"/>
    <w:rsid w:val="00B93817"/>
    <w:rsid w:val="00BA0B96"/>
    <w:rsid w:val="00BB15DA"/>
    <w:rsid w:val="00BB340D"/>
    <w:rsid w:val="00BC2A3A"/>
    <w:rsid w:val="00BC43AB"/>
    <w:rsid w:val="00BC64EC"/>
    <w:rsid w:val="00BD073D"/>
    <w:rsid w:val="00BF02E7"/>
    <w:rsid w:val="00BF3AFD"/>
    <w:rsid w:val="00C0727C"/>
    <w:rsid w:val="00C1606C"/>
    <w:rsid w:val="00C1720E"/>
    <w:rsid w:val="00C20EEA"/>
    <w:rsid w:val="00C23180"/>
    <w:rsid w:val="00C41492"/>
    <w:rsid w:val="00C702B5"/>
    <w:rsid w:val="00C70389"/>
    <w:rsid w:val="00C7341F"/>
    <w:rsid w:val="00C86C02"/>
    <w:rsid w:val="00C904B6"/>
    <w:rsid w:val="00C96DF4"/>
    <w:rsid w:val="00C975AA"/>
    <w:rsid w:val="00C97C2E"/>
    <w:rsid w:val="00CA43E4"/>
    <w:rsid w:val="00CB08A0"/>
    <w:rsid w:val="00CC00BA"/>
    <w:rsid w:val="00CC051D"/>
    <w:rsid w:val="00CC1337"/>
    <w:rsid w:val="00CC48DF"/>
    <w:rsid w:val="00CC6AC4"/>
    <w:rsid w:val="00CD70E7"/>
    <w:rsid w:val="00CD7363"/>
    <w:rsid w:val="00CE0C1F"/>
    <w:rsid w:val="00CE455F"/>
    <w:rsid w:val="00CE687E"/>
    <w:rsid w:val="00CF0163"/>
    <w:rsid w:val="00CF0BF9"/>
    <w:rsid w:val="00CF5957"/>
    <w:rsid w:val="00D04BA2"/>
    <w:rsid w:val="00D077B0"/>
    <w:rsid w:val="00D21234"/>
    <w:rsid w:val="00D22D42"/>
    <w:rsid w:val="00D36D8D"/>
    <w:rsid w:val="00D42378"/>
    <w:rsid w:val="00D44421"/>
    <w:rsid w:val="00D45711"/>
    <w:rsid w:val="00D500FC"/>
    <w:rsid w:val="00D51597"/>
    <w:rsid w:val="00D5326E"/>
    <w:rsid w:val="00D55867"/>
    <w:rsid w:val="00D634A3"/>
    <w:rsid w:val="00D72339"/>
    <w:rsid w:val="00D73E47"/>
    <w:rsid w:val="00D74ABB"/>
    <w:rsid w:val="00D8108D"/>
    <w:rsid w:val="00D83CB7"/>
    <w:rsid w:val="00D87371"/>
    <w:rsid w:val="00D97FA8"/>
    <w:rsid w:val="00DC7B25"/>
    <w:rsid w:val="00DD6B73"/>
    <w:rsid w:val="00DE6366"/>
    <w:rsid w:val="00DF0AB8"/>
    <w:rsid w:val="00E112C9"/>
    <w:rsid w:val="00E158F7"/>
    <w:rsid w:val="00E2087E"/>
    <w:rsid w:val="00E347F2"/>
    <w:rsid w:val="00E36818"/>
    <w:rsid w:val="00E47B97"/>
    <w:rsid w:val="00E47C25"/>
    <w:rsid w:val="00E5203C"/>
    <w:rsid w:val="00E61C65"/>
    <w:rsid w:val="00E6326D"/>
    <w:rsid w:val="00E634CC"/>
    <w:rsid w:val="00E65705"/>
    <w:rsid w:val="00E82F0E"/>
    <w:rsid w:val="00E96FAC"/>
    <w:rsid w:val="00EA129F"/>
    <w:rsid w:val="00EA1FCC"/>
    <w:rsid w:val="00ED0582"/>
    <w:rsid w:val="00ED39A3"/>
    <w:rsid w:val="00EE31F6"/>
    <w:rsid w:val="00EE36DC"/>
    <w:rsid w:val="00F00E7D"/>
    <w:rsid w:val="00F044EE"/>
    <w:rsid w:val="00F15839"/>
    <w:rsid w:val="00F3320B"/>
    <w:rsid w:val="00F40E92"/>
    <w:rsid w:val="00F41947"/>
    <w:rsid w:val="00F435AA"/>
    <w:rsid w:val="00F76C6A"/>
    <w:rsid w:val="00F77F10"/>
    <w:rsid w:val="00F83BF1"/>
    <w:rsid w:val="00F87749"/>
    <w:rsid w:val="00F90CB9"/>
    <w:rsid w:val="00F91F76"/>
    <w:rsid w:val="00F97373"/>
    <w:rsid w:val="00FA50A7"/>
    <w:rsid w:val="00FA6854"/>
    <w:rsid w:val="00FB064F"/>
    <w:rsid w:val="00FB144F"/>
    <w:rsid w:val="00FB159A"/>
    <w:rsid w:val="00FB4D77"/>
    <w:rsid w:val="00FB6E2B"/>
    <w:rsid w:val="00FC497D"/>
    <w:rsid w:val="00FD076B"/>
    <w:rsid w:val="00FF3782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36EE4B44"/>
  <w15:docId w15:val="{00E98723-0562-49FF-BF92-99B3AA9F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table" w:customStyle="1" w:styleId="TableGrid2">
    <w:name w:val="Table Grid2"/>
    <w:basedOn w:val="NormaleTabelle"/>
    <w:next w:val="Tabellenraster"/>
    <w:uiPriority w:val="59"/>
    <w:rsid w:val="00C7341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locked/>
    <w:rsid w:val="00C7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C7341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B09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09D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09DE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09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09DE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ermanpropertypartners.de/d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eug-immobilien.de/privat-immobilien" TargetMode="External"/><Relationship Id="rId17" Type="http://schemas.openxmlformats.org/officeDocument/2006/relationships/hyperlink" Target="mailto:presse@grossmann-berger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rossmann-berger.de/unternehmen/pressemappe/nutzungsbedingungen-press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g-immobilien.de/gewerbe-immobili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rossmann-berger.de/unternehmen/pressemappe/" TargetMode="External"/><Relationship Id="rId23" Type="http://schemas.openxmlformats.org/officeDocument/2006/relationships/theme" Target="theme/theme1.xml"/><Relationship Id="rId28" Type="http://schemas.microsoft.com/office/2018/08/relationships/commentsExtensible" Target="commentsExtensible.xml"/><Relationship Id="rId10" Type="http://schemas.openxmlformats.org/officeDocument/2006/relationships/hyperlink" Target="https://www.grossmann-berger.d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info/marktberichte-preistrends" TargetMode="External"/><Relationship Id="rId14" Type="http://schemas.openxmlformats.org/officeDocument/2006/relationships/hyperlink" Target="https://www.grossmann-berger.de/datenschutz/" TargetMode="External"/><Relationship Id="rId22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A0972-3ADA-4C52-8123-F8706D09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5678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Corinna Fühner</cp:lastModifiedBy>
  <cp:revision>68</cp:revision>
  <cp:lastPrinted>2022-04-05T10:05:00Z</cp:lastPrinted>
  <dcterms:created xsi:type="dcterms:W3CDTF">2022-03-31T12:43:00Z</dcterms:created>
  <dcterms:modified xsi:type="dcterms:W3CDTF">2022-07-06T14:17:00Z</dcterms:modified>
</cp:coreProperties>
</file>