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3786DC96" w:rsidR="00C7341F" w:rsidRDefault="00C7341F" w:rsidP="000C770D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 xml:space="preserve">Hamburg: </w:t>
      </w:r>
      <w:r>
        <w:rPr>
          <w:rFonts w:ascii="Arial" w:hAnsi="Arial" w:cs="Arial"/>
          <w:b/>
        </w:rPr>
        <w:t>Investmentmarkt 1.</w:t>
      </w:r>
      <w:r w:rsidR="00096E23">
        <w:rPr>
          <w:rFonts w:ascii="Arial" w:hAnsi="Arial" w:cs="Arial"/>
          <w:b/>
        </w:rPr>
        <w:t>-2</w:t>
      </w:r>
      <w:r w:rsidR="00DC1935">
        <w:rPr>
          <w:rFonts w:ascii="Arial" w:hAnsi="Arial" w:cs="Arial"/>
          <w:b/>
        </w:rPr>
        <w:t>.</w:t>
      </w:r>
      <w:r w:rsidRPr="00B9324B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</w:p>
    <w:p w14:paraId="6919F2CA" w14:textId="3EDEE7FD" w:rsidR="00D04BA2" w:rsidRPr="00656B29" w:rsidRDefault="00802F29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Gestiegene </w:t>
      </w:r>
      <w:r w:rsidR="00C00C49">
        <w:rPr>
          <w:rFonts w:ascii="Arial" w:hAnsi="Arial" w:cs="Arial"/>
          <w:b/>
          <w:sz w:val="28"/>
          <w:szCs w:val="28"/>
        </w:rPr>
        <w:t>Finanzierungskosten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00C49">
        <w:rPr>
          <w:rFonts w:ascii="Arial" w:hAnsi="Arial" w:cs="Arial"/>
          <w:b/>
          <w:sz w:val="28"/>
          <w:szCs w:val="28"/>
        </w:rPr>
        <w:t>hemmen Transaktionsgeschehen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F1535C" w14:textId="3E005001" w:rsidR="00D04BA2" w:rsidRPr="005E05E0" w:rsidRDefault="00C7341F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980909">
        <w:rPr>
          <w:rFonts w:ascii="Arial" w:hAnsi="Arial" w:cs="Arial"/>
          <w:b/>
          <w:sz w:val="20"/>
          <w:szCs w:val="20"/>
        </w:rPr>
        <w:t>30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980909">
        <w:rPr>
          <w:rFonts w:ascii="Arial" w:hAnsi="Arial" w:cs="Arial"/>
          <w:b/>
          <w:sz w:val="20"/>
          <w:szCs w:val="20"/>
        </w:rPr>
        <w:t>Jun</w:t>
      </w:r>
      <w:r w:rsidR="00096E2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687D00">
        <w:rPr>
          <w:rFonts w:ascii="Arial" w:hAnsi="Arial" w:cs="Arial"/>
          <w:b/>
          <w:sz w:val="20"/>
          <w:szCs w:val="20"/>
        </w:rPr>
        <w:t>–</w:t>
      </w:r>
      <w:r w:rsidR="003B4CCF" w:rsidRPr="00687D00">
        <w:rPr>
          <w:rFonts w:ascii="Arial" w:hAnsi="Arial" w:cs="Arial"/>
          <w:sz w:val="20"/>
          <w:szCs w:val="20"/>
        </w:rPr>
        <w:t xml:space="preserve"> </w:t>
      </w:r>
      <w:r w:rsidR="00340A27">
        <w:rPr>
          <w:rFonts w:ascii="Arial" w:hAnsi="Arial" w:cs="Arial"/>
          <w:sz w:val="20"/>
          <w:szCs w:val="20"/>
        </w:rPr>
        <w:t>Der I</w:t>
      </w:r>
      <w:r w:rsidR="00340A27" w:rsidRPr="00687D00">
        <w:rPr>
          <w:rFonts w:ascii="Arial" w:hAnsi="Arial" w:cs="Arial"/>
          <w:sz w:val="20"/>
          <w:szCs w:val="20"/>
        </w:rPr>
        <w:t>nvestmentmarkt für gewerbliche Immobilien</w:t>
      </w:r>
      <w:r w:rsidR="00340A27">
        <w:rPr>
          <w:rFonts w:ascii="Arial" w:hAnsi="Arial" w:cs="Arial"/>
          <w:sz w:val="20"/>
          <w:szCs w:val="20"/>
        </w:rPr>
        <w:t xml:space="preserve"> in Hamburg </w:t>
      </w:r>
      <w:r w:rsidR="00574D5E">
        <w:rPr>
          <w:rFonts w:ascii="Arial" w:hAnsi="Arial" w:cs="Arial"/>
          <w:sz w:val="20"/>
          <w:szCs w:val="20"/>
        </w:rPr>
        <w:t xml:space="preserve">spürt </w:t>
      </w:r>
      <w:r w:rsidR="00340A27">
        <w:rPr>
          <w:rFonts w:ascii="Arial" w:hAnsi="Arial" w:cs="Arial"/>
          <w:sz w:val="20"/>
          <w:szCs w:val="20"/>
        </w:rPr>
        <w:t>die Auswirkungen des Zinsanstiegs. Zwar erzielten d</w:t>
      </w:r>
      <w:r w:rsidR="00C00C49">
        <w:rPr>
          <w:rFonts w:ascii="Arial" w:hAnsi="Arial" w:cs="Arial"/>
          <w:sz w:val="20"/>
          <w:szCs w:val="20"/>
        </w:rPr>
        <w:t>ie im 1. Halbjahr 2022 getätigten Transaktionen ein Gesamtvolumen von rund 2,3 Mrd. €</w:t>
      </w:r>
      <w:r w:rsidR="00340A27">
        <w:rPr>
          <w:rFonts w:ascii="Arial" w:hAnsi="Arial" w:cs="Arial"/>
          <w:sz w:val="20"/>
          <w:szCs w:val="20"/>
        </w:rPr>
        <w:t>, was einem Anstieg v</w:t>
      </w:r>
      <w:r w:rsidR="0093153B">
        <w:rPr>
          <w:rFonts w:ascii="Arial" w:hAnsi="Arial" w:cs="Arial"/>
          <w:sz w:val="20"/>
          <w:szCs w:val="20"/>
        </w:rPr>
        <w:t>on 111 % gegenüber dem Vorjahreszeitraum</w:t>
      </w:r>
      <w:r w:rsidR="00340A27">
        <w:rPr>
          <w:rFonts w:ascii="Arial" w:hAnsi="Arial" w:cs="Arial"/>
          <w:sz w:val="20"/>
          <w:szCs w:val="20"/>
        </w:rPr>
        <w:t xml:space="preserve"> entspricht. </w:t>
      </w:r>
      <w:r w:rsidR="00C00C49">
        <w:rPr>
          <w:rFonts w:ascii="Arial" w:hAnsi="Arial" w:cs="Arial"/>
          <w:sz w:val="20"/>
          <w:szCs w:val="20"/>
        </w:rPr>
        <w:t xml:space="preserve">Dieses vermeintlich starke Ergebnis ist jedoch </w:t>
      </w:r>
      <w:r w:rsidR="00340A27">
        <w:rPr>
          <w:rFonts w:ascii="Arial" w:hAnsi="Arial" w:cs="Arial"/>
          <w:sz w:val="20"/>
          <w:szCs w:val="20"/>
        </w:rPr>
        <w:t xml:space="preserve">vordergründig auf die </w:t>
      </w:r>
      <w:r w:rsidR="0093153B">
        <w:rPr>
          <w:rFonts w:ascii="Arial" w:hAnsi="Arial" w:cs="Arial"/>
          <w:sz w:val="20"/>
          <w:szCs w:val="20"/>
        </w:rPr>
        <w:t xml:space="preserve">großvolumige </w:t>
      </w:r>
      <w:r w:rsidR="005A7691">
        <w:rPr>
          <w:rFonts w:ascii="Arial" w:hAnsi="Arial" w:cs="Arial"/>
          <w:sz w:val="20"/>
          <w:szCs w:val="20"/>
        </w:rPr>
        <w:t xml:space="preserve">Übernahme </w:t>
      </w:r>
      <w:r w:rsidR="00DF0408">
        <w:rPr>
          <w:rFonts w:ascii="Arial" w:hAnsi="Arial" w:cs="Arial"/>
          <w:sz w:val="20"/>
          <w:szCs w:val="20"/>
        </w:rPr>
        <w:t>von</w:t>
      </w:r>
      <w:r w:rsidR="00340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A27">
        <w:rPr>
          <w:rFonts w:ascii="Arial" w:hAnsi="Arial" w:cs="Arial"/>
          <w:sz w:val="20"/>
          <w:szCs w:val="20"/>
        </w:rPr>
        <w:t>a</w:t>
      </w:r>
      <w:r w:rsidR="00340A27" w:rsidRPr="00687D00">
        <w:rPr>
          <w:rFonts w:ascii="Arial" w:hAnsi="Arial" w:cs="Arial"/>
          <w:sz w:val="20"/>
          <w:szCs w:val="20"/>
        </w:rPr>
        <w:t>lstria</w:t>
      </w:r>
      <w:proofErr w:type="spellEnd"/>
      <w:r w:rsidR="00340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A27">
        <w:rPr>
          <w:rFonts w:ascii="Arial" w:hAnsi="Arial" w:cs="Arial"/>
          <w:sz w:val="20"/>
          <w:szCs w:val="20"/>
        </w:rPr>
        <w:t>o</w:t>
      </w:r>
      <w:r w:rsidR="00340A27" w:rsidRPr="00687D00">
        <w:rPr>
          <w:rFonts w:ascii="Arial" w:hAnsi="Arial" w:cs="Arial"/>
          <w:sz w:val="20"/>
          <w:szCs w:val="20"/>
        </w:rPr>
        <w:t>ffice</w:t>
      </w:r>
      <w:proofErr w:type="spellEnd"/>
      <w:r w:rsidR="00340A27" w:rsidRPr="00687D00">
        <w:rPr>
          <w:rFonts w:ascii="Arial" w:hAnsi="Arial" w:cs="Arial"/>
          <w:sz w:val="20"/>
          <w:szCs w:val="20"/>
        </w:rPr>
        <w:t xml:space="preserve"> durch </w:t>
      </w:r>
      <w:proofErr w:type="spellStart"/>
      <w:r w:rsidR="00340A27" w:rsidRPr="00687D00">
        <w:rPr>
          <w:rFonts w:ascii="Arial" w:hAnsi="Arial" w:cs="Arial"/>
          <w:sz w:val="20"/>
          <w:szCs w:val="20"/>
        </w:rPr>
        <w:t>Brookfield</w:t>
      </w:r>
      <w:proofErr w:type="spellEnd"/>
      <w:r w:rsidR="00340A27" w:rsidRPr="00687D00">
        <w:rPr>
          <w:rFonts w:ascii="Arial" w:hAnsi="Arial" w:cs="Arial"/>
          <w:sz w:val="20"/>
          <w:szCs w:val="20"/>
        </w:rPr>
        <w:t xml:space="preserve"> Properties</w:t>
      </w:r>
      <w:r w:rsidR="00340A27">
        <w:rPr>
          <w:rFonts w:ascii="Arial" w:hAnsi="Arial" w:cs="Arial"/>
          <w:sz w:val="20"/>
          <w:szCs w:val="20"/>
        </w:rPr>
        <w:t xml:space="preserve"> </w:t>
      </w:r>
      <w:r w:rsidR="009D2D7E">
        <w:rPr>
          <w:rFonts w:ascii="Arial" w:hAnsi="Arial" w:cs="Arial"/>
          <w:sz w:val="20"/>
          <w:szCs w:val="20"/>
        </w:rPr>
        <w:t>im</w:t>
      </w:r>
      <w:r w:rsidR="00340A27">
        <w:rPr>
          <w:rFonts w:ascii="Arial" w:hAnsi="Arial" w:cs="Arial"/>
          <w:sz w:val="20"/>
          <w:szCs w:val="20"/>
        </w:rPr>
        <w:t xml:space="preserve"> 1. Quartal zurückzuführen. Um diesen Sondereffekt bereinigt lag das Transaktionsvolumen (TAV) zum Ende des 2. Quartals bei </w:t>
      </w:r>
      <w:r w:rsidR="0093153B">
        <w:rPr>
          <w:rFonts w:ascii="Arial" w:hAnsi="Arial" w:cs="Arial"/>
          <w:sz w:val="20"/>
          <w:szCs w:val="20"/>
        </w:rPr>
        <w:t xml:space="preserve">rund </w:t>
      </w:r>
      <w:r w:rsidR="005A7691">
        <w:rPr>
          <w:rFonts w:ascii="Arial" w:hAnsi="Arial" w:cs="Arial"/>
          <w:sz w:val="20"/>
          <w:szCs w:val="20"/>
        </w:rPr>
        <w:t>840 Mio.</w:t>
      </w:r>
      <w:r w:rsidR="00340A27">
        <w:rPr>
          <w:rFonts w:ascii="Arial" w:hAnsi="Arial" w:cs="Arial"/>
          <w:sz w:val="20"/>
          <w:szCs w:val="20"/>
        </w:rPr>
        <w:t xml:space="preserve"> € und damit </w:t>
      </w:r>
      <w:r w:rsidR="005A7691">
        <w:rPr>
          <w:rFonts w:ascii="Arial" w:hAnsi="Arial" w:cs="Arial"/>
          <w:sz w:val="20"/>
          <w:szCs w:val="20"/>
        </w:rPr>
        <w:t>23</w:t>
      </w:r>
      <w:r w:rsidR="00340A27">
        <w:rPr>
          <w:rFonts w:ascii="Arial" w:hAnsi="Arial" w:cs="Arial"/>
          <w:sz w:val="20"/>
          <w:szCs w:val="20"/>
        </w:rPr>
        <w:t xml:space="preserve"> % unter dem ohnehin schon </w:t>
      </w:r>
      <w:r w:rsidR="00C6469E">
        <w:rPr>
          <w:rFonts w:ascii="Arial" w:hAnsi="Arial" w:cs="Arial"/>
          <w:sz w:val="20"/>
          <w:szCs w:val="20"/>
        </w:rPr>
        <w:t>verhaltenen</w:t>
      </w:r>
      <w:r w:rsidR="00340A27">
        <w:rPr>
          <w:rFonts w:ascii="Arial" w:hAnsi="Arial" w:cs="Arial"/>
          <w:sz w:val="20"/>
          <w:szCs w:val="20"/>
        </w:rPr>
        <w:t xml:space="preserve"> Vorjahresniveau sowie deutlich unter dem </w:t>
      </w:r>
      <w:r w:rsidR="009D2D7E">
        <w:rPr>
          <w:rFonts w:ascii="Arial" w:hAnsi="Arial" w:cs="Arial"/>
          <w:sz w:val="20"/>
          <w:szCs w:val="20"/>
        </w:rPr>
        <w:t>Zehn</w:t>
      </w:r>
      <w:r w:rsidR="00340A27">
        <w:rPr>
          <w:rFonts w:ascii="Arial" w:hAnsi="Arial" w:cs="Arial"/>
          <w:sz w:val="20"/>
          <w:szCs w:val="20"/>
        </w:rPr>
        <w:t xml:space="preserve">-Jahres-Mittel von 1,51 Mrd. €. </w:t>
      </w:r>
      <w:r w:rsidR="005E05E0">
        <w:rPr>
          <w:rFonts w:ascii="Arial" w:hAnsi="Arial" w:cs="Arial"/>
          <w:sz w:val="20"/>
          <w:szCs w:val="20"/>
        </w:rPr>
        <w:t xml:space="preserve">Zum Ende des </w:t>
      </w:r>
      <w:r w:rsidR="00340A27">
        <w:rPr>
          <w:rFonts w:ascii="Arial" w:hAnsi="Arial" w:cs="Arial"/>
          <w:sz w:val="20"/>
          <w:szCs w:val="20"/>
        </w:rPr>
        <w:t>2. Quartal</w:t>
      </w:r>
      <w:r w:rsidR="005E05E0">
        <w:rPr>
          <w:rFonts w:ascii="Arial" w:hAnsi="Arial" w:cs="Arial"/>
          <w:sz w:val="20"/>
          <w:szCs w:val="20"/>
        </w:rPr>
        <w:t>s registriert</w:t>
      </w:r>
      <w:r w:rsidR="00166195">
        <w:rPr>
          <w:rFonts w:ascii="Arial" w:hAnsi="Arial" w:cs="Arial"/>
          <w:sz w:val="20"/>
          <w:szCs w:val="20"/>
        </w:rPr>
        <w:t>e</w:t>
      </w:r>
      <w:r w:rsidR="005E05E0">
        <w:rPr>
          <w:rFonts w:ascii="Arial" w:hAnsi="Arial" w:cs="Arial"/>
          <w:sz w:val="20"/>
          <w:szCs w:val="20"/>
        </w:rPr>
        <w:t xml:space="preserve"> Grossmann &amp; Berger, </w:t>
      </w:r>
      <w:r w:rsidR="005E05E0" w:rsidRPr="00687D00">
        <w:rPr>
          <w:rFonts w:ascii="Arial" w:hAnsi="Arial" w:cs="Arial"/>
          <w:sz w:val="20"/>
          <w:szCs w:val="20"/>
        </w:rPr>
        <w:t>Mitglied von German Property Partners (GPP)</w:t>
      </w:r>
      <w:r w:rsidR="005E05E0">
        <w:rPr>
          <w:rFonts w:ascii="Arial" w:hAnsi="Arial" w:cs="Arial"/>
          <w:sz w:val="20"/>
          <w:szCs w:val="20"/>
        </w:rPr>
        <w:t>, lediglich 34 Transaktionen.</w:t>
      </w:r>
      <w:r w:rsidR="00340A27">
        <w:rPr>
          <w:rFonts w:ascii="Arial" w:hAnsi="Arial" w:cs="Arial"/>
          <w:sz w:val="20"/>
          <w:szCs w:val="20"/>
        </w:rPr>
        <w:t xml:space="preserve"> </w:t>
      </w:r>
      <w:r w:rsidR="005E05E0">
        <w:rPr>
          <w:rFonts w:ascii="Arial" w:hAnsi="Arial" w:cs="Arial"/>
          <w:sz w:val="20"/>
          <w:szCs w:val="20"/>
        </w:rPr>
        <w:t xml:space="preserve">Geschäftsführerin </w:t>
      </w:r>
      <w:r w:rsidR="00231898" w:rsidRPr="00687D00">
        <w:rPr>
          <w:rFonts w:ascii="Arial" w:hAnsi="Arial" w:cs="Arial"/>
          <w:b/>
          <w:sz w:val="20"/>
          <w:szCs w:val="20"/>
        </w:rPr>
        <w:t>Sandra Ludwig</w:t>
      </w:r>
      <w:r w:rsidR="00231898">
        <w:rPr>
          <w:rFonts w:ascii="Arial" w:hAnsi="Arial" w:cs="Arial"/>
          <w:sz w:val="20"/>
          <w:szCs w:val="20"/>
        </w:rPr>
        <w:t xml:space="preserve">: </w:t>
      </w:r>
      <w:r w:rsidR="00231898" w:rsidRPr="00AC5F86">
        <w:rPr>
          <w:rFonts w:ascii="Arial" w:hAnsi="Arial" w:cs="Arial"/>
          <w:i/>
          <w:sz w:val="20"/>
          <w:szCs w:val="20"/>
        </w:rPr>
        <w:t>„</w:t>
      </w:r>
      <w:r w:rsidR="000A6D3A">
        <w:rPr>
          <w:rFonts w:ascii="Arial" w:hAnsi="Arial" w:cs="Arial"/>
          <w:i/>
          <w:sz w:val="20"/>
          <w:szCs w:val="20"/>
        </w:rPr>
        <w:t xml:space="preserve">Während 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die Investoren ihre </w:t>
      </w:r>
      <w:r w:rsidR="009D2D7E">
        <w:rPr>
          <w:rFonts w:ascii="Arial" w:hAnsi="Arial" w:cs="Arial"/>
          <w:i/>
          <w:sz w:val="20"/>
          <w:szCs w:val="20"/>
        </w:rPr>
        <w:t>Investitions</w:t>
      </w:r>
      <w:r w:rsidR="000A6D3A">
        <w:rPr>
          <w:rFonts w:ascii="Arial" w:hAnsi="Arial" w:cs="Arial"/>
          <w:i/>
          <w:sz w:val="20"/>
          <w:szCs w:val="20"/>
        </w:rPr>
        <w:t xml:space="preserve">bereitschaft wegen der höheren </w:t>
      </w:r>
      <w:r w:rsidR="00C00C49">
        <w:rPr>
          <w:rFonts w:ascii="Arial" w:hAnsi="Arial" w:cs="Arial"/>
          <w:i/>
          <w:sz w:val="20"/>
          <w:szCs w:val="20"/>
        </w:rPr>
        <w:t xml:space="preserve">und </w:t>
      </w:r>
      <w:r w:rsidR="009D2D7E">
        <w:rPr>
          <w:rFonts w:ascii="Arial" w:hAnsi="Arial" w:cs="Arial"/>
          <w:i/>
          <w:sz w:val="20"/>
          <w:szCs w:val="20"/>
        </w:rPr>
        <w:t xml:space="preserve">äußerst </w:t>
      </w:r>
      <w:r w:rsidR="00C00C49">
        <w:rPr>
          <w:rFonts w:ascii="Arial" w:hAnsi="Arial" w:cs="Arial"/>
          <w:i/>
          <w:sz w:val="20"/>
          <w:szCs w:val="20"/>
        </w:rPr>
        <w:t>volatilen Zinsen</w:t>
      </w:r>
      <w:r w:rsidR="000A6D3A">
        <w:rPr>
          <w:rFonts w:ascii="Arial" w:hAnsi="Arial" w:cs="Arial"/>
          <w:i/>
          <w:sz w:val="20"/>
          <w:szCs w:val="20"/>
        </w:rPr>
        <w:t xml:space="preserve"> reduzieren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, sind </w:t>
      </w:r>
      <w:r w:rsidR="00980909">
        <w:rPr>
          <w:rFonts w:ascii="Arial" w:hAnsi="Arial" w:cs="Arial"/>
          <w:i/>
          <w:sz w:val="20"/>
          <w:szCs w:val="20"/>
        </w:rPr>
        <w:t>viele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Verkäufer noch nicht bereit, </w:t>
      </w:r>
      <w:r w:rsidR="00980909">
        <w:rPr>
          <w:rFonts w:ascii="Arial" w:hAnsi="Arial" w:cs="Arial"/>
          <w:i/>
          <w:sz w:val="20"/>
          <w:szCs w:val="20"/>
        </w:rPr>
        <w:t>die damit häufig verbundene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Kaufpreis</w:t>
      </w:r>
      <w:r w:rsidR="00980909">
        <w:rPr>
          <w:rFonts w:ascii="Arial" w:hAnsi="Arial" w:cs="Arial"/>
          <w:i/>
          <w:sz w:val="20"/>
          <w:szCs w:val="20"/>
        </w:rPr>
        <w:t>reduktion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</w:t>
      </w:r>
      <w:r w:rsidR="00980909">
        <w:rPr>
          <w:rFonts w:ascii="Arial" w:hAnsi="Arial" w:cs="Arial"/>
          <w:i/>
          <w:sz w:val="20"/>
          <w:szCs w:val="20"/>
        </w:rPr>
        <w:t>zu akzeptieren</w:t>
      </w:r>
      <w:r w:rsidR="000A6D3A" w:rsidRPr="000A6D3A">
        <w:rPr>
          <w:rFonts w:ascii="Arial" w:hAnsi="Arial" w:cs="Arial"/>
          <w:i/>
          <w:sz w:val="20"/>
          <w:szCs w:val="20"/>
        </w:rPr>
        <w:t>.</w:t>
      </w:r>
      <w:r w:rsidR="000A6D3A">
        <w:rPr>
          <w:rFonts w:ascii="Arial" w:hAnsi="Arial" w:cs="Arial"/>
          <w:i/>
          <w:sz w:val="20"/>
          <w:szCs w:val="20"/>
        </w:rPr>
        <w:t xml:space="preserve"> Das führt dazu, 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dass </w:t>
      </w:r>
      <w:r w:rsidR="00C6469E">
        <w:rPr>
          <w:rFonts w:ascii="Arial" w:hAnsi="Arial" w:cs="Arial"/>
          <w:i/>
          <w:sz w:val="20"/>
          <w:szCs w:val="20"/>
        </w:rPr>
        <w:t>insbesondere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 größe</w:t>
      </w:r>
      <w:r w:rsidR="00980909">
        <w:rPr>
          <w:rFonts w:ascii="Arial" w:hAnsi="Arial" w:cs="Arial"/>
          <w:i/>
          <w:sz w:val="20"/>
          <w:szCs w:val="20"/>
        </w:rPr>
        <w:t>re Transaktionen vorübergehend ‚on hold‘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 gesetzt werden.</w:t>
      </w:r>
      <w:r w:rsidR="000A6D3A">
        <w:rPr>
          <w:rFonts w:ascii="Arial" w:hAnsi="Arial" w:cs="Arial"/>
          <w:i/>
          <w:sz w:val="20"/>
          <w:szCs w:val="20"/>
        </w:rPr>
        <w:t xml:space="preserve">“ </w:t>
      </w:r>
      <w:r w:rsidR="00DF0408" w:rsidRPr="00DF0408">
        <w:rPr>
          <w:rFonts w:ascii="Arial" w:hAnsi="Arial" w:cs="Arial"/>
          <w:sz w:val="20"/>
          <w:szCs w:val="20"/>
        </w:rPr>
        <w:t xml:space="preserve">Ein Vorteil ergebe sich für Investoren, die wenig </w:t>
      </w:r>
      <w:r w:rsidR="00166195">
        <w:rPr>
          <w:rFonts w:ascii="Arial" w:hAnsi="Arial" w:cs="Arial"/>
          <w:sz w:val="20"/>
          <w:szCs w:val="20"/>
        </w:rPr>
        <w:t xml:space="preserve">oder kaum auf </w:t>
      </w:r>
      <w:r w:rsidR="00DF0408" w:rsidRPr="00DF0408">
        <w:rPr>
          <w:rFonts w:ascii="Arial" w:hAnsi="Arial" w:cs="Arial"/>
          <w:sz w:val="20"/>
          <w:szCs w:val="20"/>
        </w:rPr>
        <w:t>Fremdkapital angewie</w:t>
      </w:r>
      <w:bookmarkStart w:id="0" w:name="_GoBack"/>
      <w:bookmarkEnd w:id="0"/>
      <w:r w:rsidR="00DF0408" w:rsidRPr="00DF0408">
        <w:rPr>
          <w:rFonts w:ascii="Arial" w:hAnsi="Arial" w:cs="Arial"/>
          <w:sz w:val="20"/>
          <w:szCs w:val="20"/>
        </w:rPr>
        <w:t>sen sind.</w:t>
      </w:r>
      <w:r w:rsidR="00DF0408">
        <w:rPr>
          <w:rFonts w:ascii="Arial" w:hAnsi="Arial" w:cs="Arial"/>
          <w:sz w:val="20"/>
          <w:szCs w:val="20"/>
        </w:rPr>
        <w:t xml:space="preserve"> Mit Blick auf die </w:t>
      </w:r>
      <w:r w:rsidR="00980909">
        <w:rPr>
          <w:rFonts w:ascii="Arial" w:hAnsi="Arial" w:cs="Arial"/>
          <w:sz w:val="20"/>
          <w:szCs w:val="20"/>
        </w:rPr>
        <w:t>2.</w:t>
      </w:r>
      <w:r w:rsidR="00DF0408">
        <w:rPr>
          <w:rFonts w:ascii="Arial" w:hAnsi="Arial" w:cs="Arial"/>
          <w:sz w:val="20"/>
          <w:szCs w:val="20"/>
        </w:rPr>
        <w:t xml:space="preserve"> Jahreshälfte zeigt </w:t>
      </w:r>
      <w:r w:rsidR="00AC5F86" w:rsidRPr="00AC5F86">
        <w:rPr>
          <w:rFonts w:ascii="Arial" w:hAnsi="Arial" w:cs="Arial"/>
          <w:b/>
          <w:sz w:val="20"/>
          <w:szCs w:val="20"/>
        </w:rPr>
        <w:t>Ludwig</w:t>
      </w:r>
      <w:r w:rsidR="00AC5F86">
        <w:rPr>
          <w:rFonts w:ascii="Arial" w:hAnsi="Arial" w:cs="Arial"/>
          <w:sz w:val="20"/>
          <w:szCs w:val="20"/>
        </w:rPr>
        <w:t xml:space="preserve"> </w:t>
      </w:r>
      <w:r w:rsidR="00DF0408">
        <w:rPr>
          <w:rFonts w:ascii="Arial" w:hAnsi="Arial" w:cs="Arial"/>
          <w:sz w:val="20"/>
          <w:szCs w:val="20"/>
        </w:rPr>
        <w:t xml:space="preserve">sich </w:t>
      </w:r>
      <w:r w:rsidR="00574D5E">
        <w:rPr>
          <w:rFonts w:ascii="Arial" w:hAnsi="Arial" w:cs="Arial"/>
          <w:sz w:val="20"/>
          <w:szCs w:val="20"/>
        </w:rPr>
        <w:t xml:space="preserve">dennoch </w:t>
      </w:r>
      <w:r w:rsidR="00DF0408">
        <w:rPr>
          <w:rFonts w:ascii="Arial" w:hAnsi="Arial" w:cs="Arial"/>
          <w:sz w:val="20"/>
          <w:szCs w:val="20"/>
        </w:rPr>
        <w:t>optimistisch</w:t>
      </w:r>
      <w:r w:rsidR="00AC5F86">
        <w:rPr>
          <w:rFonts w:ascii="Arial" w:hAnsi="Arial" w:cs="Arial"/>
          <w:sz w:val="20"/>
          <w:szCs w:val="20"/>
        </w:rPr>
        <w:t xml:space="preserve">: 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„Kapital ist </w:t>
      </w:r>
      <w:r w:rsidR="00980909">
        <w:rPr>
          <w:rFonts w:ascii="Arial" w:hAnsi="Arial" w:cs="Arial"/>
          <w:i/>
          <w:sz w:val="20"/>
          <w:szCs w:val="20"/>
        </w:rPr>
        <w:t>vorhanden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 und will investiert werden.</w:t>
      </w:r>
      <w:r w:rsidR="00D41712" w:rsidRPr="00D41712">
        <w:rPr>
          <w:rFonts w:ascii="Arial" w:hAnsi="Arial" w:cs="Arial"/>
          <w:i/>
          <w:sz w:val="20"/>
          <w:szCs w:val="20"/>
        </w:rPr>
        <w:t xml:space="preserve"> </w:t>
      </w:r>
      <w:r w:rsidR="000A6D3A">
        <w:rPr>
          <w:rFonts w:ascii="Arial" w:hAnsi="Arial" w:cs="Arial"/>
          <w:i/>
          <w:sz w:val="20"/>
          <w:szCs w:val="20"/>
        </w:rPr>
        <w:t xml:space="preserve">Daher gehe ich davon aus, dass der </w:t>
      </w:r>
      <w:r w:rsidR="00D41712" w:rsidRPr="00D41712">
        <w:rPr>
          <w:rFonts w:ascii="Arial" w:hAnsi="Arial" w:cs="Arial"/>
          <w:i/>
          <w:sz w:val="20"/>
          <w:szCs w:val="20"/>
        </w:rPr>
        <w:t xml:space="preserve">Markt </w:t>
      </w:r>
      <w:r w:rsidR="000A6D3A">
        <w:rPr>
          <w:rFonts w:ascii="Arial" w:hAnsi="Arial" w:cs="Arial"/>
          <w:i/>
          <w:sz w:val="20"/>
          <w:szCs w:val="20"/>
        </w:rPr>
        <w:t xml:space="preserve">spätestens </w:t>
      </w:r>
      <w:r w:rsidR="00670D59">
        <w:rPr>
          <w:rFonts w:ascii="Arial" w:hAnsi="Arial" w:cs="Arial"/>
          <w:i/>
          <w:sz w:val="20"/>
          <w:szCs w:val="20"/>
        </w:rPr>
        <w:t xml:space="preserve">im </w:t>
      </w:r>
      <w:r w:rsidR="00980909">
        <w:rPr>
          <w:rFonts w:ascii="Arial" w:hAnsi="Arial" w:cs="Arial"/>
          <w:i/>
          <w:sz w:val="20"/>
          <w:szCs w:val="20"/>
        </w:rPr>
        <w:t xml:space="preserve">letzten Quartal </w:t>
      </w:r>
      <w:r w:rsidR="00D41712" w:rsidRPr="00D41712">
        <w:rPr>
          <w:rFonts w:ascii="Arial" w:hAnsi="Arial" w:cs="Arial"/>
          <w:i/>
          <w:sz w:val="20"/>
          <w:szCs w:val="20"/>
        </w:rPr>
        <w:t>wieder in Schwung kommt.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“ </w:t>
      </w:r>
      <w:r w:rsidR="00231898" w:rsidRPr="00D41712">
        <w:rPr>
          <w:rFonts w:ascii="Arial" w:hAnsi="Arial" w:cs="Arial"/>
          <w:i/>
          <w:sz w:val="20"/>
          <w:szCs w:val="20"/>
        </w:rPr>
        <w:t xml:space="preserve">   </w:t>
      </w:r>
      <w:r w:rsidR="00ED39A3" w:rsidRPr="00D41712">
        <w:rPr>
          <w:rFonts w:ascii="Arial" w:hAnsi="Arial" w:cs="Arial"/>
          <w:i/>
          <w:sz w:val="20"/>
          <w:szCs w:val="20"/>
        </w:rPr>
        <w:t xml:space="preserve">  </w:t>
      </w:r>
      <w:r w:rsidR="007C013D" w:rsidRPr="00D41712">
        <w:rPr>
          <w:rFonts w:ascii="Arial" w:hAnsi="Arial" w:cs="Arial"/>
          <w:i/>
          <w:sz w:val="20"/>
          <w:szCs w:val="20"/>
        </w:rPr>
        <w:t xml:space="preserve"> </w:t>
      </w:r>
    </w:p>
    <w:p w14:paraId="6517AEE9" w14:textId="77777777" w:rsidR="00ED39A3" w:rsidRDefault="00ED39A3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9AE52B6" w14:textId="321D7EA8" w:rsidR="00710607" w:rsidRDefault="005E05E0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der dominierenden </w:t>
      </w:r>
      <w:r w:rsidRPr="006B7CF3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 Büro belief sich in den ersten beiden Quartalen 2022 auf rund 79 %. Auf Ran</w:t>
      </w:r>
      <w:r w:rsidR="005A769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zwei und drei folgten Einzelhandelsobjekte (10 %) und Gewerbegrundstücke (4 %)</w:t>
      </w:r>
      <w:r w:rsidR="008C1D82">
        <w:rPr>
          <w:rFonts w:ascii="Arial" w:hAnsi="Arial" w:cs="Arial"/>
          <w:sz w:val="20"/>
          <w:szCs w:val="20"/>
        </w:rPr>
        <w:t>.</w:t>
      </w:r>
    </w:p>
    <w:p w14:paraId="079CA29C" w14:textId="0FFFDC2D" w:rsidR="008C1D82" w:rsidRDefault="009D2D7E" w:rsidP="008C1D8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Abgesehen von</w:t>
      </w:r>
      <w:r w:rsidR="00435B0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m</w:t>
      </w:r>
      <w:r w:rsidR="00435B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B0F">
        <w:rPr>
          <w:rFonts w:ascii="Arial" w:hAnsi="Arial" w:cs="Arial"/>
          <w:sz w:val="20"/>
          <w:szCs w:val="20"/>
        </w:rPr>
        <w:t>alstria</w:t>
      </w:r>
      <w:proofErr w:type="spellEnd"/>
      <w:r w:rsidR="00435B0F">
        <w:rPr>
          <w:rFonts w:ascii="Arial" w:hAnsi="Arial" w:cs="Arial"/>
          <w:sz w:val="20"/>
          <w:szCs w:val="20"/>
        </w:rPr>
        <w:t>-Portfolios gab es mit dem „</w:t>
      </w:r>
      <w:proofErr w:type="spellStart"/>
      <w:r w:rsidR="00435B0F">
        <w:rPr>
          <w:rFonts w:ascii="Arial" w:hAnsi="Arial" w:cs="Arial"/>
          <w:sz w:val="20"/>
          <w:szCs w:val="20"/>
        </w:rPr>
        <w:t>Klöpperhaus</w:t>
      </w:r>
      <w:proofErr w:type="spellEnd"/>
      <w:r w:rsidR="00435B0F">
        <w:rPr>
          <w:rFonts w:ascii="Arial" w:hAnsi="Arial" w:cs="Arial"/>
          <w:sz w:val="20"/>
          <w:szCs w:val="20"/>
        </w:rPr>
        <w:t xml:space="preserve">“ </w:t>
      </w:r>
      <w:r w:rsidR="00980909">
        <w:rPr>
          <w:rFonts w:ascii="Arial" w:hAnsi="Arial" w:cs="Arial"/>
          <w:sz w:val="20"/>
          <w:szCs w:val="20"/>
        </w:rPr>
        <w:t xml:space="preserve">in der Mönckebergstraße 3 </w:t>
      </w:r>
      <w:r w:rsidR="00435B0F">
        <w:rPr>
          <w:rFonts w:ascii="Arial" w:hAnsi="Arial" w:cs="Arial"/>
          <w:sz w:val="20"/>
          <w:szCs w:val="20"/>
        </w:rPr>
        <w:t xml:space="preserve">und </w:t>
      </w:r>
      <w:r w:rsidR="00980909">
        <w:rPr>
          <w:rFonts w:ascii="Arial" w:hAnsi="Arial" w:cs="Arial"/>
          <w:sz w:val="20"/>
          <w:szCs w:val="20"/>
        </w:rPr>
        <w:t xml:space="preserve">dem </w:t>
      </w:r>
      <w:r w:rsidR="00435B0F">
        <w:rPr>
          <w:rFonts w:ascii="Arial" w:hAnsi="Arial" w:cs="Arial"/>
          <w:sz w:val="20"/>
          <w:szCs w:val="20"/>
        </w:rPr>
        <w:t xml:space="preserve">„EDGE </w:t>
      </w:r>
      <w:proofErr w:type="spellStart"/>
      <w:r w:rsidR="00435B0F">
        <w:rPr>
          <w:rFonts w:ascii="Arial" w:hAnsi="Arial" w:cs="Arial"/>
          <w:sz w:val="20"/>
          <w:szCs w:val="20"/>
        </w:rPr>
        <w:t>ElbSide</w:t>
      </w:r>
      <w:proofErr w:type="spellEnd"/>
      <w:r w:rsidR="00435B0F">
        <w:rPr>
          <w:rFonts w:ascii="Arial" w:hAnsi="Arial" w:cs="Arial"/>
          <w:sz w:val="20"/>
          <w:szCs w:val="20"/>
        </w:rPr>
        <w:t xml:space="preserve">“ nur zwei Deals in der </w:t>
      </w:r>
      <w:r w:rsidR="008C1D82" w:rsidRPr="00994676">
        <w:rPr>
          <w:rFonts w:ascii="Arial" w:hAnsi="Arial" w:cs="Arial"/>
          <w:sz w:val="20"/>
          <w:szCs w:val="20"/>
          <w:u w:val="single"/>
        </w:rPr>
        <w:t>Größenklasse</w:t>
      </w:r>
      <w:r w:rsidR="008C1D82">
        <w:rPr>
          <w:rFonts w:ascii="Arial" w:hAnsi="Arial" w:cs="Arial"/>
          <w:sz w:val="20"/>
          <w:szCs w:val="20"/>
        </w:rPr>
        <w:t xml:space="preserve"> über 100 Mio. €</w:t>
      </w:r>
      <w:r w:rsidR="00435B0F">
        <w:rPr>
          <w:rFonts w:ascii="Arial" w:hAnsi="Arial" w:cs="Arial"/>
          <w:sz w:val="20"/>
          <w:szCs w:val="20"/>
        </w:rPr>
        <w:t>.</w:t>
      </w:r>
      <w:r w:rsidR="008C1D82">
        <w:rPr>
          <w:rFonts w:ascii="Arial" w:hAnsi="Arial" w:cs="Arial"/>
          <w:sz w:val="20"/>
          <w:szCs w:val="20"/>
        </w:rPr>
        <w:t xml:space="preserve"> </w:t>
      </w:r>
    </w:p>
    <w:p w14:paraId="23F5C5CF" w14:textId="7333347D" w:rsidR="00DF0408" w:rsidRDefault="00DF0408" w:rsidP="008C1D8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Volumenanteil von </w:t>
      </w:r>
      <w:r w:rsidRPr="00574D5E">
        <w:rPr>
          <w:rFonts w:ascii="Arial" w:hAnsi="Arial" w:cs="Arial"/>
          <w:sz w:val="20"/>
          <w:szCs w:val="20"/>
          <w:u w:val="single"/>
        </w:rPr>
        <w:t>Portfolioverkä</w:t>
      </w:r>
      <w:r w:rsidRPr="00435B0F">
        <w:rPr>
          <w:rFonts w:ascii="Arial" w:hAnsi="Arial" w:cs="Arial"/>
          <w:sz w:val="20"/>
          <w:szCs w:val="20"/>
          <w:u w:val="single"/>
        </w:rPr>
        <w:t>ufen</w:t>
      </w:r>
      <w:r>
        <w:rPr>
          <w:rFonts w:ascii="Arial" w:hAnsi="Arial" w:cs="Arial"/>
          <w:sz w:val="20"/>
          <w:szCs w:val="20"/>
        </w:rPr>
        <w:t xml:space="preserve"> lag </w:t>
      </w:r>
      <w:r w:rsidR="00332FE5">
        <w:rPr>
          <w:rFonts w:ascii="Arial" w:hAnsi="Arial" w:cs="Arial"/>
          <w:sz w:val="20"/>
          <w:szCs w:val="20"/>
        </w:rPr>
        <w:t xml:space="preserve">aufgrund des großvolumigen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332FE5">
        <w:rPr>
          <w:rFonts w:ascii="Arial" w:hAnsi="Arial" w:cs="Arial"/>
          <w:sz w:val="20"/>
          <w:szCs w:val="20"/>
        </w:rPr>
        <w:t>Deals</w:t>
      </w:r>
      <w:r>
        <w:rPr>
          <w:rFonts w:ascii="Arial" w:hAnsi="Arial" w:cs="Arial"/>
          <w:sz w:val="20"/>
          <w:szCs w:val="20"/>
        </w:rPr>
        <w:t xml:space="preserve"> bei 69 %</w:t>
      </w:r>
      <w:r w:rsidR="00332FE5">
        <w:rPr>
          <w:rFonts w:ascii="Arial" w:hAnsi="Arial" w:cs="Arial"/>
          <w:sz w:val="20"/>
          <w:szCs w:val="20"/>
        </w:rPr>
        <w:t>.</w:t>
      </w:r>
      <w:r w:rsidR="00574D5E">
        <w:rPr>
          <w:rFonts w:ascii="Arial" w:hAnsi="Arial" w:cs="Arial"/>
          <w:sz w:val="20"/>
          <w:szCs w:val="20"/>
        </w:rPr>
        <w:t xml:space="preserve"> Klammert man diesen aus, entfielen lediglich 7 % des TAV auf Portfolios. </w:t>
      </w:r>
    </w:p>
    <w:p w14:paraId="1703F1B6" w14:textId="7BE24764" w:rsidR="005E35CD" w:rsidRPr="005E35CD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Fondsmanager waren mit einem </w:t>
      </w:r>
      <w:r w:rsidR="00CE5010">
        <w:rPr>
          <w:rFonts w:ascii="Arial" w:hAnsi="Arial" w:cs="Arial"/>
          <w:sz w:val="20"/>
          <w:szCs w:val="20"/>
        </w:rPr>
        <w:t>TAV-</w:t>
      </w:r>
      <w:r>
        <w:rPr>
          <w:rFonts w:ascii="Arial" w:hAnsi="Arial" w:cs="Arial"/>
          <w:sz w:val="20"/>
          <w:szCs w:val="20"/>
        </w:rPr>
        <w:t xml:space="preserve">Anteil von rund 69 % die stärkste </w:t>
      </w:r>
      <w:r w:rsidRPr="00537E0A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</w:rPr>
        <w:t xml:space="preserve">. Ihre starke Präsenz ist auf den </w:t>
      </w:r>
      <w:r w:rsidR="00DF0408">
        <w:rPr>
          <w:rFonts w:ascii="Arial" w:hAnsi="Arial" w:cs="Arial"/>
          <w:sz w:val="20"/>
          <w:szCs w:val="20"/>
        </w:rPr>
        <w:t>genannten Sondereffekt</w:t>
      </w:r>
      <w:r>
        <w:rPr>
          <w:rFonts w:ascii="Arial" w:hAnsi="Arial" w:cs="Arial"/>
          <w:sz w:val="20"/>
          <w:szCs w:val="20"/>
        </w:rPr>
        <w:t xml:space="preserve"> aus dem 1. Quartal zurückzuführen. </w:t>
      </w:r>
      <w:r w:rsidR="00DF0408">
        <w:rPr>
          <w:rFonts w:ascii="Arial" w:hAnsi="Arial" w:cs="Arial"/>
          <w:sz w:val="20"/>
          <w:szCs w:val="20"/>
        </w:rPr>
        <w:t>Um diesen bereinigt</w:t>
      </w:r>
      <w:r>
        <w:rPr>
          <w:rFonts w:ascii="Arial" w:hAnsi="Arial" w:cs="Arial"/>
          <w:sz w:val="20"/>
          <w:szCs w:val="20"/>
        </w:rPr>
        <w:t xml:space="preserve"> waren </w:t>
      </w:r>
      <w:r w:rsidR="00332FE5">
        <w:rPr>
          <w:rFonts w:ascii="Arial" w:hAnsi="Arial" w:cs="Arial"/>
          <w:sz w:val="20"/>
          <w:szCs w:val="20"/>
        </w:rPr>
        <w:t xml:space="preserve">Private-Equity- und </w:t>
      </w:r>
      <w:proofErr w:type="spellStart"/>
      <w:r w:rsidR="00332FE5">
        <w:rPr>
          <w:rFonts w:ascii="Arial" w:hAnsi="Arial" w:cs="Arial"/>
          <w:sz w:val="20"/>
          <w:szCs w:val="20"/>
        </w:rPr>
        <w:t>Opportunity</w:t>
      </w:r>
      <w:proofErr w:type="spellEnd"/>
      <w:r w:rsidR="00332FE5">
        <w:rPr>
          <w:rFonts w:ascii="Arial" w:hAnsi="Arial" w:cs="Arial"/>
          <w:sz w:val="20"/>
          <w:szCs w:val="20"/>
        </w:rPr>
        <w:t>-Fonds</w:t>
      </w:r>
      <w:r>
        <w:rPr>
          <w:rFonts w:ascii="Arial" w:hAnsi="Arial" w:cs="Arial"/>
          <w:sz w:val="20"/>
          <w:szCs w:val="20"/>
        </w:rPr>
        <w:t xml:space="preserve"> mit </w:t>
      </w:r>
      <w:r w:rsidR="00332FE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% die stärkste Käufergruppe.  </w:t>
      </w:r>
    </w:p>
    <w:p w14:paraId="34C7463F" w14:textId="29318000" w:rsidR="001B3575" w:rsidRPr="00537E0A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den </w:t>
      </w:r>
      <w:r w:rsidRPr="00537E0A">
        <w:rPr>
          <w:rFonts w:ascii="Arial" w:hAnsi="Arial" w:cs="Arial"/>
          <w:sz w:val="20"/>
          <w:szCs w:val="20"/>
          <w:u w:val="single"/>
        </w:rPr>
        <w:t>Verkäufe</w:t>
      </w:r>
      <w:r w:rsidRPr="00435B0F">
        <w:rPr>
          <w:rFonts w:ascii="Arial" w:hAnsi="Arial" w:cs="Arial"/>
          <w:sz w:val="20"/>
          <w:szCs w:val="20"/>
          <w:u w:val="single"/>
        </w:rPr>
        <w:t>rn</w:t>
      </w:r>
      <w:r>
        <w:rPr>
          <w:rFonts w:ascii="Arial" w:hAnsi="Arial" w:cs="Arial"/>
          <w:sz w:val="20"/>
          <w:szCs w:val="20"/>
        </w:rPr>
        <w:t xml:space="preserve"> waren Börsennotierte Immobilieninvestment AG/REITs mit </w:t>
      </w:r>
      <w:r w:rsidR="00166195">
        <w:rPr>
          <w:rFonts w:ascii="Arial" w:hAnsi="Arial" w:cs="Arial"/>
          <w:sz w:val="20"/>
          <w:szCs w:val="20"/>
        </w:rPr>
        <w:t xml:space="preserve">einem </w:t>
      </w:r>
      <w:r w:rsidR="00CE5010">
        <w:rPr>
          <w:rFonts w:ascii="Arial" w:hAnsi="Arial" w:cs="Arial"/>
          <w:sz w:val="20"/>
          <w:szCs w:val="20"/>
        </w:rPr>
        <w:t xml:space="preserve">Anteil </w:t>
      </w:r>
      <w:r w:rsidR="00166195">
        <w:rPr>
          <w:rFonts w:ascii="Arial" w:hAnsi="Arial" w:cs="Arial"/>
          <w:sz w:val="20"/>
          <w:szCs w:val="20"/>
        </w:rPr>
        <w:t xml:space="preserve">von rund 69 % </w:t>
      </w:r>
      <w:r>
        <w:rPr>
          <w:rFonts w:ascii="Arial" w:hAnsi="Arial" w:cs="Arial"/>
          <w:sz w:val="20"/>
          <w:szCs w:val="20"/>
        </w:rPr>
        <w:t>am stärksten vertreten</w:t>
      </w:r>
      <w:r w:rsidR="00435B0F">
        <w:rPr>
          <w:rFonts w:ascii="Arial" w:hAnsi="Arial" w:cs="Arial"/>
          <w:sz w:val="20"/>
          <w:szCs w:val="20"/>
        </w:rPr>
        <w:t xml:space="preserve">, was ebenfalls auf den </w:t>
      </w:r>
      <w:proofErr w:type="spellStart"/>
      <w:r w:rsidR="00435B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lstria</w:t>
      </w:r>
      <w:proofErr w:type="spellEnd"/>
      <w:r>
        <w:rPr>
          <w:rFonts w:ascii="Arial" w:hAnsi="Arial" w:cs="Arial"/>
          <w:sz w:val="20"/>
          <w:szCs w:val="20"/>
        </w:rPr>
        <w:t xml:space="preserve">-Deal </w:t>
      </w:r>
      <w:r w:rsidR="00435B0F">
        <w:rPr>
          <w:rFonts w:ascii="Arial" w:hAnsi="Arial" w:cs="Arial"/>
          <w:sz w:val="20"/>
          <w:szCs w:val="20"/>
        </w:rPr>
        <w:t xml:space="preserve">zurückzuführen ist. Ohne diesen Sondereffekt waren </w:t>
      </w:r>
      <w:r w:rsidR="00332FE5">
        <w:rPr>
          <w:rFonts w:ascii="Arial" w:hAnsi="Arial" w:cs="Arial"/>
          <w:sz w:val="20"/>
          <w:szCs w:val="20"/>
        </w:rPr>
        <w:t>Versicherungen</w:t>
      </w:r>
      <w:r w:rsidR="00435B0F">
        <w:rPr>
          <w:rFonts w:ascii="Arial" w:hAnsi="Arial" w:cs="Arial"/>
          <w:sz w:val="20"/>
          <w:szCs w:val="20"/>
        </w:rPr>
        <w:t xml:space="preserve">, Offene Immobilienpublikumsfonds und Projektentwickler </w:t>
      </w:r>
      <w:r>
        <w:rPr>
          <w:rFonts w:ascii="Arial" w:hAnsi="Arial" w:cs="Arial"/>
          <w:sz w:val="20"/>
          <w:szCs w:val="20"/>
        </w:rPr>
        <w:t xml:space="preserve">die </w:t>
      </w:r>
      <w:r w:rsidR="00166195">
        <w:rPr>
          <w:rFonts w:ascii="Arial" w:hAnsi="Arial" w:cs="Arial"/>
          <w:sz w:val="20"/>
          <w:szCs w:val="20"/>
        </w:rPr>
        <w:t>dominierenden</w:t>
      </w:r>
      <w:r>
        <w:rPr>
          <w:rFonts w:ascii="Arial" w:hAnsi="Arial" w:cs="Arial"/>
          <w:sz w:val="20"/>
          <w:szCs w:val="20"/>
        </w:rPr>
        <w:t xml:space="preserve"> Verkäufergruppe</w:t>
      </w:r>
      <w:r w:rsidR="001661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984680" w14:textId="5C171461" w:rsidR="00537E0A" w:rsidRPr="008C1D82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5A7691">
        <w:rPr>
          <w:rFonts w:ascii="Arial" w:hAnsi="Arial" w:cs="Arial"/>
          <w:sz w:val="20"/>
          <w:szCs w:val="20"/>
        </w:rPr>
        <w:t>Volumena</w:t>
      </w:r>
      <w:r>
        <w:rPr>
          <w:rFonts w:ascii="Arial" w:hAnsi="Arial" w:cs="Arial"/>
          <w:sz w:val="20"/>
          <w:szCs w:val="20"/>
        </w:rPr>
        <w:t xml:space="preserve">nteil </w:t>
      </w:r>
      <w:r w:rsidRPr="00537E0A">
        <w:rPr>
          <w:rFonts w:ascii="Arial" w:hAnsi="Arial" w:cs="Arial"/>
          <w:sz w:val="20"/>
          <w:szCs w:val="20"/>
          <w:u w:val="single"/>
        </w:rPr>
        <w:t>internationaler Käufer</w:t>
      </w:r>
      <w:r>
        <w:rPr>
          <w:rFonts w:ascii="Arial" w:hAnsi="Arial" w:cs="Arial"/>
          <w:sz w:val="20"/>
          <w:szCs w:val="20"/>
        </w:rPr>
        <w:t xml:space="preserve"> war mit 79 % ausgesprochen hoch. Ohne den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 xml:space="preserve">-Deal lag </w:t>
      </w:r>
      <w:r w:rsidR="005A7691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bei </w:t>
      </w:r>
      <w:r w:rsidR="00332FE5">
        <w:rPr>
          <w:rFonts w:ascii="Arial" w:hAnsi="Arial" w:cs="Arial"/>
          <w:sz w:val="20"/>
          <w:szCs w:val="20"/>
        </w:rPr>
        <w:t>36</w:t>
      </w:r>
      <w:r w:rsidR="008C1D82">
        <w:rPr>
          <w:rFonts w:ascii="Arial" w:hAnsi="Arial" w:cs="Arial"/>
          <w:sz w:val="20"/>
          <w:szCs w:val="20"/>
        </w:rPr>
        <w:t xml:space="preserve"> %. </w:t>
      </w:r>
    </w:p>
    <w:p w14:paraId="5BDEA611" w14:textId="4BB67DC7" w:rsidR="00C7341F" w:rsidRPr="0093153B" w:rsidRDefault="008C1D82" w:rsidP="00C7341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Die </w:t>
      </w:r>
      <w:r w:rsidRPr="00435B0F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für Geschäftshäuser (2,7 %) und Büroimmobilien (2,6 %) blieb unverändert auf Vorjahresniveau, während sie für Industrie- und Logistikobjekte um 0,5 %-Punkte auf 3,3 % sank.</w:t>
      </w:r>
      <w:r w:rsidR="00DF0408">
        <w:rPr>
          <w:rFonts w:ascii="Arial" w:hAnsi="Arial" w:cs="Arial"/>
          <w:sz w:val="20"/>
          <w:szCs w:val="20"/>
        </w:rPr>
        <w:t xml:space="preserve"> </w:t>
      </w:r>
      <w:r w:rsidR="00435B0F">
        <w:rPr>
          <w:rFonts w:ascii="Arial" w:hAnsi="Arial" w:cs="Arial"/>
          <w:sz w:val="20"/>
          <w:szCs w:val="20"/>
        </w:rPr>
        <w:t xml:space="preserve">Im Jahresverlauf ist aufgrund des </w:t>
      </w:r>
      <w:r w:rsidR="00DF0408" w:rsidRPr="00DF0408">
        <w:rPr>
          <w:rFonts w:ascii="Arial" w:hAnsi="Arial" w:cs="Arial"/>
          <w:sz w:val="20"/>
          <w:szCs w:val="20"/>
        </w:rPr>
        <w:t>Zinsniveau</w:t>
      </w:r>
      <w:r w:rsidR="00435B0F">
        <w:rPr>
          <w:rFonts w:ascii="Arial" w:hAnsi="Arial" w:cs="Arial"/>
          <w:sz w:val="20"/>
          <w:szCs w:val="20"/>
        </w:rPr>
        <w:t>s</w:t>
      </w:r>
      <w:r w:rsidR="00DF0408" w:rsidRPr="00DF0408">
        <w:rPr>
          <w:rFonts w:ascii="Arial" w:hAnsi="Arial" w:cs="Arial"/>
          <w:sz w:val="20"/>
          <w:szCs w:val="20"/>
        </w:rPr>
        <w:t xml:space="preserve"> </w:t>
      </w:r>
      <w:r w:rsidR="00435B0F">
        <w:rPr>
          <w:rFonts w:ascii="Arial" w:hAnsi="Arial" w:cs="Arial"/>
          <w:sz w:val="20"/>
          <w:szCs w:val="20"/>
        </w:rPr>
        <w:t xml:space="preserve">mit einem Anstieg der Renditen zu rechnen.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0795C973" w14:textId="01D87657" w:rsidR="00C7341F" w:rsidRDefault="00C7341F" w:rsidP="00C7341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77777777" w:rsidR="00C7341F" w:rsidRPr="004712BA" w:rsidRDefault="00C7341F" w:rsidP="00927886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2C43490E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096E23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4B0FBC60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2.300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5F375A48" w:rsidR="00C7341F" w:rsidRPr="00E771E0" w:rsidRDefault="001B3575" w:rsidP="0063457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</w:t>
            </w:r>
            <w:r w:rsidR="00634577">
              <w:rPr>
                <w:rFonts w:ascii="Arial" w:hAnsi="Arial" w:cs="Arial"/>
                <w:sz w:val="18"/>
                <w:szCs w:val="16"/>
              </w:rPr>
              <w:t>11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29F235A4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79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2,60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0CFA9464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34577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3,30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40E8A875" w:rsidR="00C7341F" w:rsidRPr="00F67E03" w:rsidRDefault="001B3575" w:rsidP="001914C9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</w:t>
            </w:r>
            <w:r w:rsidR="001914C9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07B5C3AE" w:rsidR="00C7341F" w:rsidRPr="00F67E03" w:rsidRDefault="001914C9" w:rsidP="00BF044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79</w:t>
            </w:r>
          </w:p>
        </w:tc>
      </w:tr>
    </w:tbl>
    <w:p w14:paraId="57438FD8" w14:textId="7F735F23" w:rsidR="00C7341F" w:rsidRDefault="00387D3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87D3B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0815C4C5" wp14:editId="4AF50A65">
            <wp:extent cx="2738176" cy="1971627"/>
            <wp:effectExtent l="19050" t="19050" r="24130" b="10160"/>
            <wp:docPr id="3" name="Grafik 3" descr="N:\Presse\5_PresseMITTEILUNGEN\Marktbericht Investment\2022\2022 Q2\Grafiken\TAV_HH_2022Q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\2022\2022 Q2\Grafiken\TAV_HH_2022Q2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13682" cy="20259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22503" w14:textId="2F69D87E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D06259" w14:textId="5637C583" w:rsidR="00387D3B" w:rsidRDefault="00387D3B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711D151C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096E23">
        <w:rPr>
          <w:rFonts w:ascii="Arial" w:hAnsi="Arial" w:cs="Arial"/>
          <w:b/>
          <w:sz w:val="20"/>
          <w:szCs w:val="20"/>
        </w:rPr>
        <w:t>-2.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701"/>
        <w:gridCol w:w="1843"/>
        <w:gridCol w:w="1134"/>
      </w:tblGrid>
      <w:tr w:rsidR="00C7341F" w:rsidRPr="006F49D0" w14:paraId="4F21D6DF" w14:textId="77777777" w:rsidTr="00DC1935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276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5" w:type="dxa"/>
            <w:shd w:val="clear" w:color="auto" w:fill="000000" w:themeFill="text1"/>
          </w:tcPr>
          <w:p w14:paraId="03801D01" w14:textId="1EDECB39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C7341F" w:rsidRPr="00F2414C" w14:paraId="7AC1D298" w14:textId="77777777" w:rsidTr="00DC1935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03D13DC" w14:textId="732BA045" w:rsidR="00C7341F" w:rsidRPr="00CA462D" w:rsidRDefault="007A4FCB" w:rsidP="00DE636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lstria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ffice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2FB983" w14:textId="2FBD4EE3" w:rsidR="00C7341F" w:rsidRPr="00CA462D" w:rsidRDefault="007A4FCB" w:rsidP="007A4FCB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ECA139" w14:textId="3DDA50E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F1B7E2" w14:textId="3572C4F6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Brookfield Properties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28516F" w14:textId="292A0E24" w:rsidR="00C7341F" w:rsidRPr="00CA462D" w:rsidRDefault="00712CE1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90496" w14:textId="60755643" w:rsidR="00C7341F" w:rsidRPr="00CA462D" w:rsidRDefault="00712CE1" w:rsidP="00E347F2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C584B" w:rsidRPr="00F2414C" w14:paraId="6EB816CC" w14:textId="77777777" w:rsidTr="00DC1935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5FD24CE" w14:textId="1E175ED4" w:rsidR="00DC584B" w:rsidRDefault="00DC584B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Klöpperhaus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(ehem.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Galeria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Kaufhof)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79E195" w14:textId="7CF14AC4" w:rsidR="00DC584B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CFD696" w14:textId="458073EA" w:rsidR="00DC584B" w:rsidRDefault="00DC584B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Einzelhandel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6820F2" w14:textId="79D17876" w:rsidR="00DC584B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Tishman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Speyer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C49F54" w14:textId="0F9EC421" w:rsidR="00DC584B" w:rsidRPr="00E347F2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Württembergische Lebensversicherung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215B4A" w14:textId="5BFCDF3E" w:rsidR="00DC584B" w:rsidRDefault="006D5F37" w:rsidP="006D5F37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</w:tr>
      <w:tr w:rsidR="006D5F37" w:rsidRPr="00F2414C" w14:paraId="0E0D25C0" w14:textId="77777777" w:rsidTr="00DC1935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D5987" w14:textId="609426DD" w:rsidR="006D5F37" w:rsidRDefault="006D5F37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„EDGE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ElbSide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 (50 %)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A04BD6" w14:textId="6F0081CB" w:rsidR="006D5F37" w:rsidRDefault="006D5F37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HafenCity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D8A28A1" w14:textId="35881EA4" w:rsidR="006D5F37" w:rsidRDefault="006D5F37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45AB29" w14:textId="35505DF2" w:rsidR="006D5F37" w:rsidRPr="005524A3" w:rsidRDefault="006D5F37" w:rsidP="00B1598B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>Ampega</w:t>
            </w:r>
            <w:proofErr w:type="spellEnd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Asset Management</w:t>
            </w:r>
            <w:r w:rsidR="00AF3723"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C43BB4" w14:textId="09BA1421" w:rsidR="006D5F37" w:rsidRPr="00E347F2" w:rsidRDefault="006D5F37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HanseMerkur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Grundvermögen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33533D" w14:textId="0226CD9B" w:rsidR="006D5F37" w:rsidRDefault="006D5F37" w:rsidP="006D5F37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100</w:t>
            </w:r>
          </w:p>
        </w:tc>
      </w:tr>
      <w:tr w:rsidR="00C7341F" w:rsidRPr="00F2414C" w14:paraId="6C281615" w14:textId="77777777" w:rsidTr="00DC1935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8B904D4" w14:textId="10BD675B" w:rsidR="00C7341F" w:rsidRPr="00CA462D" w:rsidRDefault="00E347F2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rundstück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Seehafenstraße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B43B5" w14:textId="42EB0DC0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Süd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E6158FB" w14:textId="5DF9560E" w:rsidR="00C7341F" w:rsidRPr="00CA462D" w:rsidRDefault="00E347F2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Gewerbe-grundstück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9F9A7A" w14:textId="4440317A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Projektentwickler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0F63FEB" w14:textId="19FDBA67" w:rsidR="00C7341F" w:rsidRPr="00CA462D" w:rsidRDefault="00E347F2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EEF1D" w14:textId="0A10C455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</w:tr>
      <w:tr w:rsidR="00C7341F" w:rsidRPr="00F2414C" w14:paraId="4DEF231D" w14:textId="77777777" w:rsidTr="00DC1935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58E408B5" w14:textId="77DBEFEE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Peute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Dock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(Bauabschnitt)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Oberwerder</w:t>
            </w:r>
            <w:proofErr w:type="spellEnd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Damm 11-21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EE2F1" w14:textId="57ED599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4C51391" w14:textId="060AC8F4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C5741" w14:textId="62DE478B" w:rsidR="00C7341F" w:rsidRPr="00CA462D" w:rsidRDefault="00B1598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598B">
              <w:rPr>
                <w:rFonts w:ascii="Arial" w:hAnsi="Arial" w:cs="Arial"/>
                <w:sz w:val="18"/>
                <w:szCs w:val="18"/>
                <w:lang w:val="en-US"/>
              </w:rPr>
              <w:t>DIC Asset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C0737" w14:textId="467E3848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Value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C86F" w14:textId="0DFAE33A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</w:tr>
    </w:tbl>
    <w:p w14:paraId="38EB286B" w14:textId="05C537AD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  <w:r w:rsidR="0016456A">
        <w:rPr>
          <w:rFonts w:ascii="Arial" w:hAnsi="Arial" w:cs="Arial"/>
          <w:sz w:val="16"/>
          <w:szCs w:val="16"/>
        </w:rPr>
        <w:t xml:space="preserve"> Deals aus dem jeweiligem Berichtsquartal sind grau hinterlegt.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7FE2AE63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Investment Hamburg </w:t>
        </w:r>
        <w:r w:rsidR="0012484F" w:rsidRPr="00096E23">
          <w:rPr>
            <w:rStyle w:val="Hyperlink"/>
            <w:rFonts w:ascii="Arial" w:eastAsia="Arial" w:hAnsi="Arial" w:cs="Arial"/>
            <w:sz w:val="20"/>
            <w:szCs w:val="20"/>
          </w:rPr>
          <w:t>2022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>/Q2</w:t>
        </w:r>
      </w:hyperlink>
      <w:r w:rsidR="0012484F">
        <w:rPr>
          <w:rFonts w:ascii="Arial" w:eastAsia="Arial" w:hAnsi="Arial" w:cs="Arial"/>
          <w:color w:val="000000" w:themeColor="text1"/>
          <w:sz w:val="20"/>
          <w:szCs w:val="20"/>
        </w:rPr>
        <w:t xml:space="preserve"> steht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in 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D6771" w14:textId="77777777" w:rsidR="00096E23" w:rsidRPr="0090748B" w:rsidRDefault="00096E23" w:rsidP="00096E2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0896392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061ABA7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A6F933C" w14:textId="77777777" w:rsidR="00096E23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ECEBB6" w14:textId="650C40A1" w:rsidR="00503D8C" w:rsidRPr="00096E23" w:rsidRDefault="00096E23" w:rsidP="00096E23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096E23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3118066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70D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70D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33ADA0D1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038D3993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28446FD2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341F569C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02AA"/>
    <w:rsid w:val="00022F16"/>
    <w:rsid w:val="00023D78"/>
    <w:rsid w:val="0003075C"/>
    <w:rsid w:val="00060743"/>
    <w:rsid w:val="00066796"/>
    <w:rsid w:val="000766D7"/>
    <w:rsid w:val="00096E23"/>
    <w:rsid w:val="000A6D3A"/>
    <w:rsid w:val="000B3315"/>
    <w:rsid w:val="000C770D"/>
    <w:rsid w:val="000E03F3"/>
    <w:rsid w:val="001029C4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6456A"/>
    <w:rsid w:val="00166195"/>
    <w:rsid w:val="0017516B"/>
    <w:rsid w:val="00176F1D"/>
    <w:rsid w:val="00190298"/>
    <w:rsid w:val="001914C9"/>
    <w:rsid w:val="001922E2"/>
    <w:rsid w:val="00192897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5769"/>
    <w:rsid w:val="00212FEC"/>
    <w:rsid w:val="002131BB"/>
    <w:rsid w:val="0022086D"/>
    <w:rsid w:val="002220CB"/>
    <w:rsid w:val="00227E31"/>
    <w:rsid w:val="00230F81"/>
    <w:rsid w:val="00231898"/>
    <w:rsid w:val="002538F8"/>
    <w:rsid w:val="00254C6F"/>
    <w:rsid w:val="002665B5"/>
    <w:rsid w:val="0027266B"/>
    <w:rsid w:val="00281E80"/>
    <w:rsid w:val="002834B0"/>
    <w:rsid w:val="00283671"/>
    <w:rsid w:val="00284E27"/>
    <w:rsid w:val="002A028B"/>
    <w:rsid w:val="002A1973"/>
    <w:rsid w:val="002C2392"/>
    <w:rsid w:val="002D1C5C"/>
    <w:rsid w:val="002D1E20"/>
    <w:rsid w:val="002E6860"/>
    <w:rsid w:val="002F0411"/>
    <w:rsid w:val="00325E2A"/>
    <w:rsid w:val="00332FE5"/>
    <w:rsid w:val="00340A27"/>
    <w:rsid w:val="0034786C"/>
    <w:rsid w:val="003517C9"/>
    <w:rsid w:val="0035325B"/>
    <w:rsid w:val="003577ED"/>
    <w:rsid w:val="00370000"/>
    <w:rsid w:val="00373507"/>
    <w:rsid w:val="0038230E"/>
    <w:rsid w:val="00382529"/>
    <w:rsid w:val="00387D3B"/>
    <w:rsid w:val="003A75E8"/>
    <w:rsid w:val="003B4CCF"/>
    <w:rsid w:val="003C6AB4"/>
    <w:rsid w:val="003E099F"/>
    <w:rsid w:val="003F1645"/>
    <w:rsid w:val="0040086D"/>
    <w:rsid w:val="004017D8"/>
    <w:rsid w:val="00411E03"/>
    <w:rsid w:val="004123B1"/>
    <w:rsid w:val="004303A1"/>
    <w:rsid w:val="004351E4"/>
    <w:rsid w:val="00435B0F"/>
    <w:rsid w:val="00440DC9"/>
    <w:rsid w:val="004506D2"/>
    <w:rsid w:val="00456F40"/>
    <w:rsid w:val="004609BD"/>
    <w:rsid w:val="004661EE"/>
    <w:rsid w:val="00466741"/>
    <w:rsid w:val="0047591A"/>
    <w:rsid w:val="004839BD"/>
    <w:rsid w:val="004A2BEA"/>
    <w:rsid w:val="004A3C64"/>
    <w:rsid w:val="004A5AEA"/>
    <w:rsid w:val="004B09DE"/>
    <w:rsid w:val="004B2FDA"/>
    <w:rsid w:val="004B480A"/>
    <w:rsid w:val="004E339B"/>
    <w:rsid w:val="004E4562"/>
    <w:rsid w:val="004F077F"/>
    <w:rsid w:val="005023DD"/>
    <w:rsid w:val="00503D8C"/>
    <w:rsid w:val="00522B84"/>
    <w:rsid w:val="00531A7F"/>
    <w:rsid w:val="00537E0A"/>
    <w:rsid w:val="005428C5"/>
    <w:rsid w:val="00543C55"/>
    <w:rsid w:val="00546707"/>
    <w:rsid w:val="005524A3"/>
    <w:rsid w:val="005554C7"/>
    <w:rsid w:val="00574D5E"/>
    <w:rsid w:val="00582B99"/>
    <w:rsid w:val="00590903"/>
    <w:rsid w:val="005A7691"/>
    <w:rsid w:val="005B0FC9"/>
    <w:rsid w:val="005B66D3"/>
    <w:rsid w:val="005C4556"/>
    <w:rsid w:val="005C5302"/>
    <w:rsid w:val="005E05E0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B9C"/>
    <w:rsid w:val="00634577"/>
    <w:rsid w:val="00642074"/>
    <w:rsid w:val="00656B29"/>
    <w:rsid w:val="00670D59"/>
    <w:rsid w:val="00687D00"/>
    <w:rsid w:val="00695E58"/>
    <w:rsid w:val="006A1329"/>
    <w:rsid w:val="006A66F9"/>
    <w:rsid w:val="006D5F37"/>
    <w:rsid w:val="006E4CF0"/>
    <w:rsid w:val="006E5F6E"/>
    <w:rsid w:val="006F6329"/>
    <w:rsid w:val="00710607"/>
    <w:rsid w:val="00712CE1"/>
    <w:rsid w:val="00720DFF"/>
    <w:rsid w:val="007218C0"/>
    <w:rsid w:val="00762CC5"/>
    <w:rsid w:val="00781CBD"/>
    <w:rsid w:val="00783517"/>
    <w:rsid w:val="007906B4"/>
    <w:rsid w:val="007A4FCB"/>
    <w:rsid w:val="007A7F58"/>
    <w:rsid w:val="007C013D"/>
    <w:rsid w:val="007E4A2C"/>
    <w:rsid w:val="007E759D"/>
    <w:rsid w:val="007F49FD"/>
    <w:rsid w:val="00802F29"/>
    <w:rsid w:val="00812471"/>
    <w:rsid w:val="008261A5"/>
    <w:rsid w:val="008314AD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C1D82"/>
    <w:rsid w:val="008C608D"/>
    <w:rsid w:val="008E461D"/>
    <w:rsid w:val="008F08E5"/>
    <w:rsid w:val="008F0EA4"/>
    <w:rsid w:val="008F5213"/>
    <w:rsid w:val="009066C5"/>
    <w:rsid w:val="0090748B"/>
    <w:rsid w:val="00920C9C"/>
    <w:rsid w:val="00922754"/>
    <w:rsid w:val="00925781"/>
    <w:rsid w:val="009258D0"/>
    <w:rsid w:val="0093153B"/>
    <w:rsid w:val="00935AB3"/>
    <w:rsid w:val="009734CE"/>
    <w:rsid w:val="00980909"/>
    <w:rsid w:val="00980EDB"/>
    <w:rsid w:val="009864F4"/>
    <w:rsid w:val="0099478D"/>
    <w:rsid w:val="00996E1A"/>
    <w:rsid w:val="009A4414"/>
    <w:rsid w:val="009D24DA"/>
    <w:rsid w:val="009D2D7E"/>
    <w:rsid w:val="009D5738"/>
    <w:rsid w:val="009D5D75"/>
    <w:rsid w:val="009F32A2"/>
    <w:rsid w:val="009F54CE"/>
    <w:rsid w:val="00A06264"/>
    <w:rsid w:val="00A1639A"/>
    <w:rsid w:val="00A202C5"/>
    <w:rsid w:val="00A215C9"/>
    <w:rsid w:val="00A4056C"/>
    <w:rsid w:val="00A46956"/>
    <w:rsid w:val="00A5364B"/>
    <w:rsid w:val="00A546DC"/>
    <w:rsid w:val="00A615E0"/>
    <w:rsid w:val="00A65E2B"/>
    <w:rsid w:val="00A74AA0"/>
    <w:rsid w:val="00A7546D"/>
    <w:rsid w:val="00A77100"/>
    <w:rsid w:val="00AA4D97"/>
    <w:rsid w:val="00AC5F86"/>
    <w:rsid w:val="00AD17B7"/>
    <w:rsid w:val="00AF3723"/>
    <w:rsid w:val="00B077D5"/>
    <w:rsid w:val="00B1598B"/>
    <w:rsid w:val="00B200E4"/>
    <w:rsid w:val="00B35B6D"/>
    <w:rsid w:val="00B35DC6"/>
    <w:rsid w:val="00B51116"/>
    <w:rsid w:val="00B51699"/>
    <w:rsid w:val="00B53FAF"/>
    <w:rsid w:val="00B63153"/>
    <w:rsid w:val="00B6527D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2BCB"/>
    <w:rsid w:val="00BC43AB"/>
    <w:rsid w:val="00BC64EC"/>
    <w:rsid w:val="00BD073D"/>
    <w:rsid w:val="00BE16CD"/>
    <w:rsid w:val="00BE36BB"/>
    <w:rsid w:val="00BF02E7"/>
    <w:rsid w:val="00BF0444"/>
    <w:rsid w:val="00BF3AFD"/>
    <w:rsid w:val="00C00C49"/>
    <w:rsid w:val="00C1606C"/>
    <w:rsid w:val="00C1720E"/>
    <w:rsid w:val="00C20EEA"/>
    <w:rsid w:val="00C23180"/>
    <w:rsid w:val="00C41492"/>
    <w:rsid w:val="00C6469E"/>
    <w:rsid w:val="00C702B5"/>
    <w:rsid w:val="00C70389"/>
    <w:rsid w:val="00C7341F"/>
    <w:rsid w:val="00C904B6"/>
    <w:rsid w:val="00C96DF4"/>
    <w:rsid w:val="00C97C2E"/>
    <w:rsid w:val="00CA43E4"/>
    <w:rsid w:val="00CB08A0"/>
    <w:rsid w:val="00CC00BA"/>
    <w:rsid w:val="00CC1337"/>
    <w:rsid w:val="00CC48DF"/>
    <w:rsid w:val="00CD70E7"/>
    <w:rsid w:val="00CD7363"/>
    <w:rsid w:val="00CE0C1F"/>
    <w:rsid w:val="00CE455F"/>
    <w:rsid w:val="00CE5010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1712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97FA8"/>
    <w:rsid w:val="00DC1935"/>
    <w:rsid w:val="00DC584B"/>
    <w:rsid w:val="00DC7B25"/>
    <w:rsid w:val="00DD6B73"/>
    <w:rsid w:val="00DE6366"/>
    <w:rsid w:val="00DF0408"/>
    <w:rsid w:val="00E112C9"/>
    <w:rsid w:val="00E158F7"/>
    <w:rsid w:val="00E2087E"/>
    <w:rsid w:val="00E347F2"/>
    <w:rsid w:val="00E36818"/>
    <w:rsid w:val="00E47B97"/>
    <w:rsid w:val="00E50D05"/>
    <w:rsid w:val="00E5203C"/>
    <w:rsid w:val="00E61C65"/>
    <w:rsid w:val="00E6326D"/>
    <w:rsid w:val="00E634CC"/>
    <w:rsid w:val="00E82F0E"/>
    <w:rsid w:val="00E96FAC"/>
    <w:rsid w:val="00EA129F"/>
    <w:rsid w:val="00ED0582"/>
    <w:rsid w:val="00ED39A3"/>
    <w:rsid w:val="00EE31F6"/>
    <w:rsid w:val="00EE36DC"/>
    <w:rsid w:val="00F044EE"/>
    <w:rsid w:val="00F3320B"/>
    <w:rsid w:val="00F40E92"/>
    <w:rsid w:val="00F41947"/>
    <w:rsid w:val="00F435AA"/>
    <w:rsid w:val="00F76C6A"/>
    <w:rsid w:val="00F83BF1"/>
    <w:rsid w:val="00F90CB9"/>
    <w:rsid w:val="00F92EAD"/>
    <w:rsid w:val="00F97373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CC51-7177-4E94-9055-03B9379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53</cp:revision>
  <cp:lastPrinted>2017-12-15T09:20:00Z</cp:lastPrinted>
  <dcterms:created xsi:type="dcterms:W3CDTF">2022-03-31T12:43:00Z</dcterms:created>
  <dcterms:modified xsi:type="dcterms:W3CDTF">2022-06-30T06:40:00Z</dcterms:modified>
</cp:coreProperties>
</file>