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E72C" w14:textId="77777777" w:rsidR="0031292B" w:rsidRPr="00977AD7" w:rsidRDefault="0031292B" w:rsidP="0031292B">
      <w:pPr>
        <w:spacing w:after="0" w:line="360" w:lineRule="auto"/>
        <w:rPr>
          <w:rFonts w:ascii="Arial" w:hAnsi="Arial" w:cs="Arial"/>
          <w:b/>
          <w:sz w:val="28"/>
          <w:szCs w:val="28"/>
        </w:rPr>
      </w:pPr>
      <w:r>
        <w:rPr>
          <w:rFonts w:ascii="Arial" w:hAnsi="Arial"/>
          <w:b/>
        </w:rPr>
        <w:t xml:space="preserve">Hamburg: Industrial </w:t>
      </w:r>
      <w:r w:rsidR="00051E5E">
        <w:rPr>
          <w:rFonts w:ascii="Arial" w:hAnsi="Arial"/>
          <w:b/>
        </w:rPr>
        <w:t>and logistics properties market</w:t>
      </w:r>
      <w:r>
        <w:rPr>
          <w:rFonts w:ascii="Arial" w:hAnsi="Arial"/>
          <w:b/>
        </w:rPr>
        <w:t>, 1st quarter, 2023</w:t>
      </w:r>
      <w:r>
        <w:rPr>
          <w:rFonts w:ascii="Arial" w:hAnsi="Arial"/>
          <w:b/>
        </w:rPr>
        <w:br/>
      </w:r>
      <w:r w:rsidRPr="00977AD7">
        <w:rPr>
          <w:rFonts w:ascii="Arial" w:hAnsi="Arial"/>
          <w:b/>
          <w:sz w:val="28"/>
          <w:szCs w:val="28"/>
        </w:rPr>
        <w:t xml:space="preserve">Shortage of space acts in two ways </w:t>
      </w:r>
      <w:r w:rsidR="00E004D8" w:rsidRPr="00977AD7">
        <w:rPr>
          <w:rFonts w:ascii="Arial" w:hAnsi="Arial"/>
          <w:b/>
          <w:sz w:val="28"/>
          <w:szCs w:val="28"/>
        </w:rPr>
        <w:t>–</w:t>
      </w:r>
      <w:r w:rsidRPr="00977AD7">
        <w:rPr>
          <w:rFonts w:ascii="Arial" w:hAnsi="Arial"/>
          <w:b/>
          <w:sz w:val="28"/>
          <w:szCs w:val="28"/>
        </w:rPr>
        <w:t xml:space="preserve"> as brake and catalyst</w:t>
      </w:r>
    </w:p>
    <w:p w14:paraId="727942BF" w14:textId="77777777" w:rsidR="0031292B" w:rsidRPr="0090748B" w:rsidRDefault="0031292B" w:rsidP="0031292B">
      <w:pPr>
        <w:spacing w:after="0" w:line="360" w:lineRule="auto"/>
        <w:jc w:val="both"/>
        <w:rPr>
          <w:rFonts w:ascii="Arial" w:hAnsi="Arial" w:cs="Arial"/>
          <w:b/>
          <w:sz w:val="20"/>
          <w:szCs w:val="20"/>
        </w:rPr>
      </w:pPr>
    </w:p>
    <w:p w14:paraId="31028955" w14:textId="77777777" w:rsidR="0031292B" w:rsidRPr="00F2157F" w:rsidRDefault="0031292B" w:rsidP="0031292B">
      <w:pPr>
        <w:spacing w:after="0" w:line="360" w:lineRule="auto"/>
        <w:rPr>
          <w:rFonts w:ascii="Arial" w:hAnsi="Arial" w:cs="Arial"/>
          <w:sz w:val="20"/>
          <w:szCs w:val="20"/>
        </w:rPr>
      </w:pPr>
      <w:r>
        <w:rPr>
          <w:rFonts w:ascii="Arial" w:hAnsi="Arial"/>
          <w:b/>
          <w:sz w:val="20"/>
          <w:szCs w:val="20"/>
        </w:rPr>
        <w:t>Hamburg, 12 April 2023</w:t>
      </w:r>
      <w:r w:rsidR="00E004D8">
        <w:rPr>
          <w:rFonts w:ascii="Arial" w:hAnsi="Arial"/>
          <w:sz w:val="20"/>
          <w:szCs w:val="20"/>
        </w:rPr>
        <w:t xml:space="preserve"> – The role played by o</w:t>
      </w:r>
      <w:r>
        <w:rPr>
          <w:rFonts w:ascii="Arial" w:hAnsi="Arial"/>
          <w:sz w:val="20"/>
          <w:szCs w:val="20"/>
        </w:rPr>
        <w:t>wner-occupiers on the office-letting market in Hamburg in the 1st quarter of 2023</w:t>
      </w:r>
      <w:r w:rsidR="00E004D8">
        <w:rPr>
          <w:rFonts w:ascii="Arial" w:hAnsi="Arial"/>
          <w:sz w:val="20"/>
          <w:szCs w:val="20"/>
        </w:rPr>
        <w:t xml:space="preserve"> was very small</w:t>
      </w:r>
      <w:r>
        <w:rPr>
          <w:rFonts w:ascii="Arial" w:hAnsi="Arial"/>
          <w:sz w:val="20"/>
          <w:szCs w:val="20"/>
        </w:rPr>
        <w:t>, but on the market for industri</w:t>
      </w:r>
      <w:r w:rsidR="005A519D">
        <w:rPr>
          <w:rFonts w:ascii="Arial" w:hAnsi="Arial"/>
          <w:sz w:val="20"/>
          <w:szCs w:val="20"/>
        </w:rPr>
        <w:t>al and logistics space</w:t>
      </w:r>
      <w:r>
        <w:rPr>
          <w:rFonts w:ascii="Arial" w:hAnsi="Arial"/>
          <w:sz w:val="20"/>
          <w:szCs w:val="20"/>
        </w:rPr>
        <w:t xml:space="preserve"> </w:t>
      </w:r>
      <w:r w:rsidR="005A519D">
        <w:rPr>
          <w:rFonts w:ascii="Arial" w:hAnsi="Arial"/>
          <w:sz w:val="20"/>
          <w:szCs w:val="20"/>
        </w:rPr>
        <w:t>they were barely visible at all.</w:t>
      </w:r>
      <w:r>
        <w:rPr>
          <w:rFonts w:ascii="Arial" w:hAnsi="Arial"/>
          <w:sz w:val="20"/>
          <w:szCs w:val="20"/>
        </w:rPr>
        <w:t xml:space="preserve"> They accounted for only 1 % of the 85,000 m² of ta</w:t>
      </w:r>
      <w:r w:rsidR="00BF13B5">
        <w:rPr>
          <w:rFonts w:ascii="Arial" w:hAnsi="Arial"/>
          <w:sz w:val="20"/>
          <w:szCs w:val="20"/>
        </w:rPr>
        <w:t>ke-up recorded to date. The overall</w:t>
      </w:r>
      <w:r>
        <w:rPr>
          <w:rFonts w:ascii="Arial" w:hAnsi="Arial"/>
          <w:sz w:val="20"/>
          <w:szCs w:val="20"/>
        </w:rPr>
        <w:t xml:space="preserve"> result fell 32 % below the relatively good total posted for the same period a year before. </w:t>
      </w:r>
      <w:r>
        <w:rPr>
          <w:rFonts w:ascii="Arial" w:hAnsi="Arial"/>
          <w:i/>
          <w:sz w:val="20"/>
          <w:szCs w:val="20"/>
        </w:rPr>
        <w:t>“Companies want to move to different or larger premises, but often they are unable to find space that suits their needs. So the problem is not a lack of interest,”</w:t>
      </w:r>
      <w:r>
        <w:rPr>
          <w:rFonts w:ascii="Arial" w:hAnsi="Arial"/>
          <w:sz w:val="20"/>
          <w:szCs w:val="20"/>
        </w:rPr>
        <w:t xml:space="preserve"> remarks </w:t>
      </w:r>
      <w:r>
        <w:rPr>
          <w:rFonts w:ascii="Arial" w:hAnsi="Arial"/>
          <w:b/>
          <w:sz w:val="20"/>
          <w:szCs w:val="20"/>
        </w:rPr>
        <w:t>Nico Beckmann</w:t>
      </w:r>
      <w:r w:rsidR="00051E5E">
        <w:rPr>
          <w:rFonts w:ascii="Arial" w:hAnsi="Arial"/>
          <w:sz w:val="20"/>
          <w:szCs w:val="20"/>
        </w:rPr>
        <w:t>,</w:t>
      </w:r>
      <w:r>
        <w:rPr>
          <w:rFonts w:ascii="Arial" w:hAnsi="Arial"/>
          <w:sz w:val="20"/>
          <w:szCs w:val="20"/>
        </w:rPr>
        <w:t xml:space="preserve"> consultant for industrial and logistics real </w:t>
      </w:r>
      <w:r w:rsidR="00051E5E">
        <w:rPr>
          <w:rFonts w:ascii="Arial" w:hAnsi="Arial"/>
          <w:sz w:val="20"/>
          <w:szCs w:val="20"/>
        </w:rPr>
        <w:t xml:space="preserve">estate at Grossmann &amp; Berger, </w:t>
      </w:r>
      <w:r>
        <w:rPr>
          <w:rFonts w:ascii="Arial" w:hAnsi="Arial"/>
          <w:sz w:val="20"/>
          <w:szCs w:val="20"/>
        </w:rPr>
        <w:t>member of G</w:t>
      </w:r>
      <w:r w:rsidR="00E004D8">
        <w:rPr>
          <w:rFonts w:ascii="Arial" w:hAnsi="Arial"/>
          <w:sz w:val="20"/>
          <w:szCs w:val="20"/>
        </w:rPr>
        <w:t xml:space="preserve">erman Property Partners (GPP). </w:t>
      </w:r>
      <w:r>
        <w:rPr>
          <w:rFonts w:ascii="Arial" w:hAnsi="Arial"/>
          <w:i/>
          <w:sz w:val="20"/>
          <w:szCs w:val="20"/>
        </w:rPr>
        <w:t>“In the face of rising energy costs and the increasing desire for properties that meet sustainability criteria, demand has, however, shifted even further towards new builds or p</w:t>
      </w:r>
      <w:r w:rsidR="00977AD7">
        <w:rPr>
          <w:rFonts w:ascii="Arial" w:hAnsi="Arial"/>
          <w:i/>
          <w:sz w:val="20"/>
          <w:szCs w:val="20"/>
        </w:rPr>
        <w:t>remises that are as good as new</w:t>
      </w:r>
      <w:r>
        <w:rPr>
          <w:rFonts w:ascii="Arial" w:hAnsi="Arial"/>
          <w:i/>
          <w:sz w:val="20"/>
          <w:szCs w:val="20"/>
        </w:rPr>
        <w:t>. But if no land is available for development, nothing can be built.”</w:t>
      </w:r>
    </w:p>
    <w:p w14:paraId="495B43BE" w14:textId="77777777" w:rsidR="0031292B" w:rsidRDefault="0031292B" w:rsidP="0031292B">
      <w:pPr>
        <w:spacing w:after="0" w:line="360" w:lineRule="auto"/>
        <w:rPr>
          <w:rFonts w:ascii="Arial" w:hAnsi="Arial" w:cs="Arial"/>
          <w:sz w:val="20"/>
          <w:szCs w:val="20"/>
        </w:rPr>
      </w:pPr>
    </w:p>
    <w:p w14:paraId="4D429CE6" w14:textId="77777777" w:rsidR="0031292B" w:rsidRPr="00FE43D5" w:rsidRDefault="0031292B" w:rsidP="0031292B">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0F8A0B55" w14:textId="77777777" w:rsidR="0031292B" w:rsidRPr="008B7A90" w:rsidRDefault="0031292B" w:rsidP="0031292B">
      <w:pPr>
        <w:pStyle w:val="Listenabsatz"/>
        <w:numPr>
          <w:ilvl w:val="0"/>
          <w:numId w:val="16"/>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In the context of the sole </w:t>
      </w:r>
      <w:r>
        <w:rPr>
          <w:rFonts w:ascii="Arial" w:hAnsi="Arial"/>
          <w:sz w:val="20"/>
          <w:szCs w:val="20"/>
          <w:u w:val="single"/>
        </w:rPr>
        <w:t>owner-occupier</w:t>
      </w:r>
      <w:r>
        <w:rPr>
          <w:rFonts w:ascii="Arial" w:hAnsi="Arial"/>
          <w:sz w:val="20"/>
          <w:szCs w:val="20"/>
        </w:rPr>
        <w:t xml:space="preserve"> transaction, Safran Helicopter Engines acquired a 6,000 m² plot of land on </w:t>
      </w:r>
      <w:proofErr w:type="spellStart"/>
      <w:r>
        <w:rPr>
          <w:rFonts w:ascii="Arial" w:hAnsi="Arial"/>
          <w:sz w:val="20"/>
          <w:szCs w:val="20"/>
        </w:rPr>
        <w:t>Spelterstrasse</w:t>
      </w:r>
      <w:proofErr w:type="spellEnd"/>
      <w:r>
        <w:rPr>
          <w:rFonts w:ascii="Arial" w:hAnsi="Arial"/>
          <w:sz w:val="20"/>
          <w:szCs w:val="20"/>
        </w:rPr>
        <w:t xml:space="preserve"> in the </w:t>
      </w:r>
      <w:proofErr w:type="spellStart"/>
      <w:r>
        <w:rPr>
          <w:rFonts w:ascii="Arial" w:hAnsi="Arial"/>
          <w:sz w:val="20"/>
          <w:szCs w:val="20"/>
        </w:rPr>
        <w:t>Nordport</w:t>
      </w:r>
      <w:proofErr w:type="spellEnd"/>
      <w:r>
        <w:rPr>
          <w:rFonts w:ascii="Arial" w:hAnsi="Arial"/>
          <w:sz w:val="20"/>
          <w:szCs w:val="20"/>
        </w:rPr>
        <w:t xml:space="preserve"> industrial estate. This specialist manufacturer of helicopter engines plans a new building with engineering and storage facilities plus a suite of offices.</w:t>
      </w:r>
    </w:p>
    <w:p w14:paraId="3DE1854F" w14:textId="77777777" w:rsidR="0031292B" w:rsidRPr="00486B32" w:rsidRDefault="0031292B" w:rsidP="0031292B">
      <w:pPr>
        <w:pStyle w:val="Listenabsatz"/>
        <w:numPr>
          <w:ilvl w:val="0"/>
          <w:numId w:val="16"/>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dominant </w:t>
      </w:r>
      <w:r>
        <w:rPr>
          <w:rFonts w:ascii="Arial" w:hAnsi="Arial"/>
          <w:sz w:val="20"/>
          <w:szCs w:val="20"/>
          <w:u w:val="single"/>
        </w:rPr>
        <w:t>size category</w:t>
      </w:r>
      <w:r>
        <w:rPr>
          <w:rFonts w:ascii="Arial" w:hAnsi="Arial"/>
          <w:sz w:val="20"/>
          <w:szCs w:val="20"/>
        </w:rPr>
        <w:t xml:space="preserve"> a year ago was that of 10,000 m² or more; take-up in this sector has now halved to 39,700 m². Between January and March 2022 Grossmann &amp; Berger had recorded three agreements for more than 15,000 m² of space. In the same period a year later, there was not a single transaction involving a property of this size. </w:t>
      </w:r>
    </w:p>
    <w:p w14:paraId="0FC401D7" w14:textId="77777777" w:rsidR="0031292B" w:rsidRPr="00163527" w:rsidRDefault="0031292B" w:rsidP="0031292B">
      <w:pPr>
        <w:pStyle w:val="Listenabsatz"/>
        <w:numPr>
          <w:ilvl w:val="0"/>
          <w:numId w:val="16"/>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The shortage of space has caused rents to skyrocket. The top </w:t>
      </w:r>
      <w:r>
        <w:rPr>
          <w:rFonts w:ascii="Arial" w:hAnsi="Arial"/>
          <w:sz w:val="20"/>
          <w:szCs w:val="20"/>
          <w:u w:val="single"/>
        </w:rPr>
        <w:t>price bracket</w:t>
      </w:r>
      <w:r w:rsidRPr="00051E5E">
        <w:rPr>
          <w:rFonts w:ascii="Arial" w:hAnsi="Arial"/>
          <w:sz w:val="20"/>
          <w:szCs w:val="20"/>
        </w:rPr>
        <w:t>,</w:t>
      </w:r>
      <w:r>
        <w:rPr>
          <w:rFonts w:ascii="Arial" w:hAnsi="Arial"/>
          <w:sz w:val="20"/>
          <w:szCs w:val="20"/>
        </w:rPr>
        <w:t xml:space="preserve"> €5.51/m²/month or more, applied to 31 % of transactions at the end of March 2022, but this year Grossmann &amp; Berger notes that 87 % of take-up falls into </w:t>
      </w:r>
      <w:r w:rsidR="00051E5E">
        <w:rPr>
          <w:rFonts w:ascii="Arial" w:hAnsi="Arial"/>
          <w:sz w:val="20"/>
          <w:szCs w:val="20"/>
        </w:rPr>
        <w:t>this sector of the market. At €</w:t>
      </w:r>
      <w:r>
        <w:rPr>
          <w:rFonts w:ascii="Arial" w:hAnsi="Arial"/>
          <w:sz w:val="20"/>
          <w:szCs w:val="20"/>
        </w:rPr>
        <w:t xml:space="preserve">8.00/m²/month, </w:t>
      </w:r>
      <w:r>
        <w:rPr>
          <w:rFonts w:ascii="Arial" w:hAnsi="Arial"/>
          <w:sz w:val="20"/>
          <w:szCs w:val="20"/>
          <w:u w:val="single"/>
        </w:rPr>
        <w:t>premium rents</w:t>
      </w:r>
      <w:r>
        <w:rPr>
          <w:rFonts w:ascii="Arial" w:hAnsi="Arial"/>
          <w:sz w:val="20"/>
          <w:szCs w:val="20"/>
        </w:rPr>
        <w:t xml:space="preserve"> thus reached a new all-time high. The </w:t>
      </w:r>
      <w:r>
        <w:rPr>
          <w:rFonts w:ascii="Arial" w:hAnsi="Arial"/>
          <w:sz w:val="20"/>
          <w:szCs w:val="20"/>
          <w:u w:val="single"/>
        </w:rPr>
        <w:t>average rent</w:t>
      </w:r>
      <w:r>
        <w:rPr>
          <w:rFonts w:ascii="Arial" w:hAnsi="Arial"/>
          <w:sz w:val="20"/>
          <w:szCs w:val="20"/>
        </w:rPr>
        <w:t xml:space="preserve"> also increased to €6.00/m²/month.</w:t>
      </w:r>
    </w:p>
    <w:p w14:paraId="6D875C49" w14:textId="77777777" w:rsidR="0031292B" w:rsidRPr="00486B32" w:rsidRDefault="0031292B" w:rsidP="0031292B">
      <w:pPr>
        <w:pStyle w:val="Listenabsatz"/>
        <w:numPr>
          <w:ilvl w:val="0"/>
          <w:numId w:val="16"/>
        </w:numPr>
        <w:spacing w:before="60" w:after="60" w:line="360" w:lineRule="auto"/>
        <w:textAlignment w:val="baseline"/>
        <w:rPr>
          <w:rFonts w:ascii="Arial" w:eastAsiaTheme="minorHAnsi" w:hAnsi="Arial" w:cs="Arial"/>
          <w:sz w:val="20"/>
          <w:szCs w:val="20"/>
        </w:rPr>
      </w:pPr>
      <w:r>
        <w:rPr>
          <w:rFonts w:ascii="Arial" w:hAnsi="Arial"/>
          <w:sz w:val="20"/>
          <w:szCs w:val="20"/>
        </w:rPr>
        <w:t>Posting almost equal shares of the market, logistics and forwarding</w:t>
      </w:r>
      <w:r w:rsidR="005A519D">
        <w:rPr>
          <w:rFonts w:ascii="Arial" w:hAnsi="Arial"/>
          <w:sz w:val="20"/>
          <w:szCs w:val="20"/>
        </w:rPr>
        <w:t xml:space="preserve"> firms (38 %) and manufacturing</w:t>
      </w:r>
      <w:r>
        <w:rPr>
          <w:rFonts w:ascii="Arial" w:hAnsi="Arial"/>
          <w:sz w:val="20"/>
          <w:szCs w:val="20"/>
        </w:rPr>
        <w:t>/</w:t>
      </w:r>
      <w:r w:rsidR="005A519D">
        <w:rPr>
          <w:rFonts w:ascii="Arial" w:hAnsi="Arial"/>
          <w:sz w:val="20"/>
          <w:szCs w:val="20"/>
        </w:rPr>
        <w:t xml:space="preserve"> </w:t>
      </w:r>
      <w:r>
        <w:rPr>
          <w:rFonts w:ascii="Arial" w:hAnsi="Arial"/>
          <w:sz w:val="20"/>
          <w:szCs w:val="20"/>
        </w:rPr>
        <w:t xml:space="preserve">industrial/craft trades (35 %) were the two most active </w:t>
      </w:r>
      <w:r>
        <w:rPr>
          <w:rFonts w:ascii="Arial" w:hAnsi="Arial"/>
          <w:sz w:val="20"/>
          <w:szCs w:val="20"/>
          <w:u w:val="single"/>
        </w:rPr>
        <w:t>sectors of industry</w:t>
      </w:r>
      <w:r>
        <w:rPr>
          <w:rFonts w:ascii="Arial" w:hAnsi="Arial"/>
          <w:sz w:val="20"/>
          <w:szCs w:val="20"/>
        </w:rPr>
        <w:t>.</w:t>
      </w:r>
    </w:p>
    <w:p w14:paraId="7CEC4BC9" w14:textId="77777777" w:rsidR="0031292B" w:rsidRPr="00486B32" w:rsidRDefault="0031292B" w:rsidP="0031292B">
      <w:pPr>
        <w:pStyle w:val="Listenabsatz"/>
        <w:numPr>
          <w:ilvl w:val="0"/>
          <w:numId w:val="16"/>
        </w:numPr>
        <w:spacing w:before="60" w:after="60" w:line="360" w:lineRule="auto"/>
        <w:textAlignment w:val="baseline"/>
        <w:rPr>
          <w:rFonts w:ascii="Arial" w:eastAsiaTheme="minorHAnsi" w:hAnsi="Arial" w:cs="Arial"/>
          <w:sz w:val="20"/>
          <w:szCs w:val="20"/>
        </w:rPr>
      </w:pPr>
      <w:r>
        <w:rPr>
          <w:rFonts w:ascii="Arial" w:hAnsi="Arial"/>
          <w:sz w:val="20"/>
          <w:szCs w:val="20"/>
        </w:rPr>
        <w:t xml:space="preserve">In terms of distribution of activity, three </w:t>
      </w:r>
      <w:r>
        <w:rPr>
          <w:rFonts w:ascii="Arial" w:hAnsi="Arial"/>
          <w:sz w:val="20"/>
          <w:szCs w:val="20"/>
          <w:u w:val="single"/>
        </w:rPr>
        <w:t>sub-markets</w:t>
      </w:r>
      <w:r>
        <w:rPr>
          <w:rFonts w:ascii="Arial" w:hAnsi="Arial"/>
          <w:sz w:val="20"/>
          <w:szCs w:val="20"/>
        </w:rPr>
        <w:t xml:space="preserve"> were most heavily in demand: Hamburg North East and Hamburg South, each accounting for 27 % of take-up</w:t>
      </w:r>
      <w:r w:rsidR="00051E5E">
        <w:rPr>
          <w:rFonts w:ascii="Arial" w:hAnsi="Arial"/>
          <w:sz w:val="20"/>
          <w:szCs w:val="20"/>
        </w:rPr>
        <w:t>,</w:t>
      </w:r>
      <w:r>
        <w:rPr>
          <w:rFonts w:ascii="Arial" w:hAnsi="Arial"/>
          <w:sz w:val="20"/>
          <w:szCs w:val="20"/>
        </w:rPr>
        <w:t xml:space="preserve"> and East Environs with a share of 25 %.</w:t>
      </w:r>
    </w:p>
    <w:p w14:paraId="1024542F" w14:textId="77777777" w:rsidR="0031292B" w:rsidRDefault="0031292B" w:rsidP="0031292B">
      <w:pPr>
        <w:spacing w:after="0"/>
        <w:rPr>
          <w:rFonts w:ascii="Arial" w:eastAsiaTheme="minorHAnsi" w:hAnsi="Arial" w:cs="Arial"/>
          <w:sz w:val="20"/>
          <w:szCs w:val="20"/>
        </w:rPr>
      </w:pPr>
      <w:r>
        <w:br w:type="page"/>
      </w:r>
    </w:p>
    <w:p w14:paraId="5CBE53C8" w14:textId="77777777" w:rsidR="0031292B" w:rsidRPr="00143D29" w:rsidRDefault="00051E5E" w:rsidP="0031292B">
      <w:pPr>
        <w:spacing w:before="60" w:after="60" w:line="360" w:lineRule="auto"/>
        <w:textAlignment w:val="baseline"/>
        <w:rPr>
          <w:rFonts w:ascii="Arial" w:eastAsiaTheme="minorHAnsi" w:hAnsi="Arial" w:cs="Arial"/>
          <w:sz w:val="20"/>
          <w:szCs w:val="20"/>
        </w:rPr>
      </w:pPr>
      <w:r>
        <w:rPr>
          <w:rFonts w:ascii="Arial" w:hAnsi="Arial"/>
          <w:b/>
          <w:noProof/>
          <w:sz w:val="20"/>
          <w:szCs w:val="20"/>
          <w:lang w:val="de-DE" w:eastAsia="de-DE"/>
        </w:rPr>
        <w:lastRenderedPageBreak/>
        <w:drawing>
          <wp:anchor distT="0" distB="0" distL="114300" distR="114300" simplePos="0" relativeHeight="251658240" behindDoc="0" locked="0" layoutInCell="1" allowOverlap="1" wp14:anchorId="7D03DBB2" wp14:editId="18103B58">
            <wp:simplePos x="0" y="0"/>
            <wp:positionH relativeFrom="column">
              <wp:posOffset>3935730</wp:posOffset>
            </wp:positionH>
            <wp:positionV relativeFrom="paragraph">
              <wp:posOffset>330835</wp:posOffset>
            </wp:positionV>
            <wp:extent cx="2152650" cy="1534795"/>
            <wp:effectExtent l="19050" t="19050" r="19050" b="273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p;B-industrial-logistics-market-Hamburg-1q23-take-up.png"/>
                    <pic:cNvPicPr/>
                  </pic:nvPicPr>
                  <pic:blipFill>
                    <a:blip r:embed="rId8">
                      <a:extLst>
                        <a:ext uri="{28A0092B-C50C-407E-A947-70E740481C1C}">
                          <a14:useLocalDpi xmlns:a14="http://schemas.microsoft.com/office/drawing/2010/main" val="0"/>
                        </a:ext>
                      </a:extLst>
                    </a:blip>
                    <a:stretch>
                      <a:fillRect/>
                    </a:stretch>
                  </pic:blipFill>
                  <pic:spPr>
                    <a:xfrm>
                      <a:off x="0" y="0"/>
                      <a:ext cx="2152650" cy="153479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2"/>
        <w:tblpPr w:leftFromText="141" w:rightFromText="141" w:vertAnchor="text" w:horzAnchor="margin" w:tblpY="106"/>
        <w:tblW w:w="6091" w:type="dxa"/>
        <w:tblLayout w:type="fixed"/>
        <w:tblLook w:val="04A0" w:firstRow="1" w:lastRow="0" w:firstColumn="1" w:lastColumn="0" w:noHBand="0" w:noVBand="1"/>
      </w:tblPr>
      <w:tblGrid>
        <w:gridCol w:w="4106"/>
        <w:gridCol w:w="1985"/>
      </w:tblGrid>
      <w:tr w:rsidR="0031292B" w:rsidRPr="006F49D0" w14:paraId="36A9BEFE" w14:textId="77777777" w:rsidTr="00051E5E">
        <w:trPr>
          <w:trHeight w:val="255"/>
        </w:trPr>
        <w:tc>
          <w:tcPr>
            <w:tcW w:w="4106" w:type="dxa"/>
            <w:shd w:val="clear" w:color="auto" w:fill="000000" w:themeFill="text1"/>
            <w:vAlign w:val="center"/>
          </w:tcPr>
          <w:p w14:paraId="0CA10F27" w14:textId="77777777" w:rsidR="0031292B" w:rsidRPr="0031292B" w:rsidRDefault="00051E5E" w:rsidP="00051E5E">
            <w:pPr>
              <w:widowControl w:val="0"/>
              <w:spacing w:before="60" w:after="60"/>
              <w:rPr>
                <w:rFonts w:ascii="Arial" w:hAnsi="Arial" w:cs="Arial"/>
                <w:b/>
                <w:color w:val="FFFFFF" w:themeColor="background1"/>
                <w:sz w:val="18"/>
                <w:szCs w:val="20"/>
              </w:rPr>
            </w:pPr>
            <w:r>
              <w:rPr>
                <w:rFonts w:ascii="Arial" w:hAnsi="Arial"/>
                <w:b/>
                <w:color w:val="FFFFFF" w:themeColor="background1"/>
                <w:sz w:val="18"/>
                <w:szCs w:val="20"/>
              </w:rPr>
              <w:t>Industrial &amp;</w:t>
            </w:r>
            <w:r w:rsidR="0031292B">
              <w:rPr>
                <w:rFonts w:ascii="Arial" w:hAnsi="Arial"/>
                <w:b/>
                <w:color w:val="FFFFFF" w:themeColor="background1"/>
                <w:sz w:val="18"/>
                <w:szCs w:val="20"/>
              </w:rPr>
              <w:t xml:space="preserve"> logistics | Hamburg</w:t>
            </w:r>
            <w:r>
              <w:rPr>
                <w:rFonts w:ascii="Arial" w:hAnsi="Arial"/>
                <w:b/>
                <w:color w:val="FFFFFF" w:themeColor="background1"/>
                <w:sz w:val="18"/>
                <w:szCs w:val="20"/>
              </w:rPr>
              <w:t xml:space="preserve"> &amp; e</w:t>
            </w:r>
            <w:r w:rsidR="0031292B">
              <w:rPr>
                <w:rFonts w:ascii="Arial" w:hAnsi="Arial"/>
                <w:b/>
                <w:color w:val="FFFFFF" w:themeColor="background1"/>
                <w:sz w:val="18"/>
                <w:szCs w:val="20"/>
              </w:rPr>
              <w:t>nvirons</w:t>
            </w:r>
          </w:p>
        </w:tc>
        <w:tc>
          <w:tcPr>
            <w:tcW w:w="1985" w:type="dxa"/>
            <w:shd w:val="clear" w:color="auto" w:fill="000000" w:themeFill="text1"/>
            <w:vAlign w:val="center"/>
          </w:tcPr>
          <w:p w14:paraId="19CF0970" w14:textId="77777777" w:rsidR="0031292B" w:rsidRPr="0031292B" w:rsidRDefault="0031292B" w:rsidP="00596C49">
            <w:pPr>
              <w:widowControl w:val="0"/>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2023 | Q1</w:t>
            </w:r>
          </w:p>
        </w:tc>
      </w:tr>
      <w:tr w:rsidR="0031292B" w:rsidRPr="006F49D0" w14:paraId="545FBB8A" w14:textId="77777777" w:rsidTr="00051E5E">
        <w:trPr>
          <w:trHeight w:val="255"/>
        </w:trPr>
        <w:tc>
          <w:tcPr>
            <w:tcW w:w="4106" w:type="dxa"/>
            <w:vAlign w:val="center"/>
          </w:tcPr>
          <w:p w14:paraId="2910DDAF" w14:textId="77777777" w:rsidR="0031292B" w:rsidRPr="004712BA" w:rsidRDefault="0031292B" w:rsidP="00596C49">
            <w:pPr>
              <w:widowControl w:val="0"/>
              <w:spacing w:before="60" w:after="6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985" w:type="dxa"/>
            <w:vAlign w:val="center"/>
          </w:tcPr>
          <w:p w14:paraId="07153A06"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85,000</w:t>
            </w:r>
          </w:p>
        </w:tc>
      </w:tr>
      <w:tr w:rsidR="0031292B" w:rsidRPr="006F49D0" w14:paraId="50D140F1" w14:textId="77777777" w:rsidTr="00051E5E">
        <w:trPr>
          <w:trHeight w:val="255"/>
        </w:trPr>
        <w:tc>
          <w:tcPr>
            <w:tcW w:w="4106" w:type="dxa"/>
            <w:vAlign w:val="center"/>
          </w:tcPr>
          <w:p w14:paraId="77AA8248" w14:textId="77777777" w:rsidR="0031292B" w:rsidRPr="00A7575D" w:rsidRDefault="0031292B" w:rsidP="00596C49">
            <w:pPr>
              <w:widowControl w:val="0"/>
              <w:spacing w:before="60" w:after="6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63550C99"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-32.0</w:t>
            </w:r>
          </w:p>
        </w:tc>
      </w:tr>
      <w:tr w:rsidR="0031292B" w:rsidRPr="006F49D0" w14:paraId="2366BC9A" w14:textId="77777777" w:rsidTr="00051E5E">
        <w:trPr>
          <w:trHeight w:val="255"/>
        </w:trPr>
        <w:tc>
          <w:tcPr>
            <w:tcW w:w="4106" w:type="dxa"/>
            <w:vAlign w:val="center"/>
          </w:tcPr>
          <w:p w14:paraId="06B544F5" w14:textId="77777777" w:rsidR="0031292B" w:rsidRPr="009A3457" w:rsidRDefault="0031292B" w:rsidP="00E004D8">
            <w:pPr>
              <w:widowControl w:val="0"/>
              <w:spacing w:before="60" w:after="60"/>
              <w:rPr>
                <w:rFonts w:ascii="Arial" w:hAnsi="Arial" w:cs="Arial"/>
                <w:b/>
                <w:sz w:val="18"/>
                <w:szCs w:val="16"/>
              </w:rPr>
            </w:pPr>
            <w:r>
              <w:rPr>
                <w:rFonts w:ascii="Arial" w:hAnsi="Arial"/>
                <w:b/>
                <w:sz w:val="18"/>
                <w:szCs w:val="16"/>
              </w:rPr>
              <w:t>Ratio of owner-occupiers</w:t>
            </w:r>
            <w:r>
              <w:rPr>
                <w:rFonts w:ascii="Arial" w:hAnsi="Arial"/>
                <w:sz w:val="18"/>
                <w:szCs w:val="16"/>
              </w:rPr>
              <w:t xml:space="preserve"> [%]</w:t>
            </w:r>
          </w:p>
        </w:tc>
        <w:tc>
          <w:tcPr>
            <w:tcW w:w="1985" w:type="dxa"/>
            <w:vAlign w:val="center"/>
          </w:tcPr>
          <w:p w14:paraId="73231197"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1</w:t>
            </w:r>
          </w:p>
        </w:tc>
      </w:tr>
      <w:tr w:rsidR="0031292B" w:rsidRPr="006F49D0" w14:paraId="3E9FCE6E" w14:textId="77777777" w:rsidTr="00051E5E">
        <w:trPr>
          <w:trHeight w:val="255"/>
        </w:trPr>
        <w:tc>
          <w:tcPr>
            <w:tcW w:w="4106" w:type="dxa"/>
            <w:vAlign w:val="center"/>
          </w:tcPr>
          <w:p w14:paraId="375E2568" w14:textId="77777777" w:rsidR="0031292B" w:rsidRPr="00122A77" w:rsidRDefault="0031292B" w:rsidP="00E004D8">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985" w:type="dxa"/>
            <w:vAlign w:val="center"/>
          </w:tcPr>
          <w:p w14:paraId="31CDC8DF" w14:textId="77777777" w:rsidR="0031292B" w:rsidRPr="00122A77" w:rsidRDefault="0031292B" w:rsidP="00596C49">
            <w:pPr>
              <w:widowControl w:val="0"/>
              <w:spacing w:before="60" w:after="60"/>
              <w:jc w:val="right"/>
              <w:rPr>
                <w:rFonts w:ascii="Arial" w:hAnsi="Arial" w:cs="Arial"/>
                <w:sz w:val="18"/>
                <w:szCs w:val="16"/>
              </w:rPr>
            </w:pPr>
            <w:r>
              <w:rPr>
                <w:rFonts w:ascii="Arial" w:hAnsi="Arial"/>
                <w:sz w:val="18"/>
                <w:szCs w:val="16"/>
              </w:rPr>
              <w:t>-35</w:t>
            </w:r>
          </w:p>
        </w:tc>
      </w:tr>
      <w:tr w:rsidR="0031292B" w:rsidRPr="006F49D0" w14:paraId="34FDF989" w14:textId="77777777" w:rsidTr="00051E5E">
        <w:trPr>
          <w:trHeight w:val="255"/>
        </w:trPr>
        <w:tc>
          <w:tcPr>
            <w:tcW w:w="4106" w:type="dxa"/>
            <w:vAlign w:val="center"/>
          </w:tcPr>
          <w:p w14:paraId="13BF2D60" w14:textId="77777777" w:rsidR="0031292B" w:rsidRPr="004712BA" w:rsidRDefault="0031292B" w:rsidP="00E004D8">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985" w:type="dxa"/>
            <w:vAlign w:val="center"/>
          </w:tcPr>
          <w:p w14:paraId="283C866E"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8.00</w:t>
            </w:r>
          </w:p>
        </w:tc>
      </w:tr>
      <w:tr w:rsidR="0031292B" w14:paraId="4C3B8AD3" w14:textId="77777777" w:rsidTr="00051E5E">
        <w:trPr>
          <w:trHeight w:val="255"/>
        </w:trPr>
        <w:tc>
          <w:tcPr>
            <w:tcW w:w="4106" w:type="dxa"/>
            <w:vAlign w:val="center"/>
          </w:tcPr>
          <w:p w14:paraId="0E5AD2DE" w14:textId="77777777" w:rsidR="0031292B" w:rsidRPr="00A7575D" w:rsidRDefault="0031292B" w:rsidP="00E004D8">
            <w:pPr>
              <w:widowControl w:val="0"/>
              <w:spacing w:before="60" w:after="6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4D5836CF" w14:textId="77777777" w:rsidR="0031292B" w:rsidRPr="00A7575D" w:rsidRDefault="0031292B" w:rsidP="00596C49">
            <w:pPr>
              <w:widowControl w:val="0"/>
              <w:spacing w:before="60" w:after="60"/>
              <w:jc w:val="right"/>
              <w:rPr>
                <w:rFonts w:ascii="Arial" w:hAnsi="Arial" w:cs="Arial"/>
                <w:sz w:val="18"/>
                <w:szCs w:val="16"/>
              </w:rPr>
            </w:pPr>
            <w:r>
              <w:rPr>
                <w:rFonts w:ascii="Arial" w:hAnsi="Arial"/>
                <w:sz w:val="18"/>
                <w:szCs w:val="16"/>
              </w:rPr>
              <w:t>+19.4</w:t>
            </w:r>
          </w:p>
        </w:tc>
      </w:tr>
      <w:tr w:rsidR="0031292B" w:rsidRPr="006F49D0" w14:paraId="331E221B" w14:textId="77777777" w:rsidTr="00051E5E">
        <w:trPr>
          <w:trHeight w:val="255"/>
        </w:trPr>
        <w:tc>
          <w:tcPr>
            <w:tcW w:w="4106" w:type="dxa"/>
            <w:vAlign w:val="center"/>
          </w:tcPr>
          <w:p w14:paraId="2349A283" w14:textId="77777777" w:rsidR="0031292B" w:rsidRPr="004712BA" w:rsidRDefault="0031292B" w:rsidP="00E004D8">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985" w:type="dxa"/>
            <w:vAlign w:val="center"/>
          </w:tcPr>
          <w:p w14:paraId="5AEC379B"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6.00</w:t>
            </w:r>
          </w:p>
        </w:tc>
      </w:tr>
      <w:tr w:rsidR="0031292B" w14:paraId="58567AA4" w14:textId="77777777" w:rsidTr="00051E5E">
        <w:trPr>
          <w:trHeight w:val="255"/>
        </w:trPr>
        <w:tc>
          <w:tcPr>
            <w:tcW w:w="4106" w:type="dxa"/>
            <w:vAlign w:val="center"/>
          </w:tcPr>
          <w:p w14:paraId="260F35C2" w14:textId="77777777" w:rsidR="0031292B" w:rsidRPr="00A7575D" w:rsidRDefault="0031292B" w:rsidP="00E004D8">
            <w:pPr>
              <w:widowControl w:val="0"/>
              <w:spacing w:before="60" w:after="6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985" w:type="dxa"/>
            <w:vAlign w:val="center"/>
          </w:tcPr>
          <w:p w14:paraId="308E260C" w14:textId="77777777" w:rsidR="0031292B" w:rsidRPr="00A7575D" w:rsidRDefault="0031292B" w:rsidP="00596C49">
            <w:pPr>
              <w:widowControl w:val="0"/>
              <w:spacing w:before="60" w:after="60"/>
              <w:jc w:val="right"/>
              <w:rPr>
                <w:rFonts w:ascii="Arial" w:hAnsi="Arial" w:cs="Arial"/>
                <w:sz w:val="18"/>
                <w:szCs w:val="16"/>
              </w:rPr>
            </w:pPr>
            <w:r>
              <w:rPr>
                <w:rFonts w:ascii="Arial" w:hAnsi="Arial"/>
                <w:sz w:val="18"/>
                <w:szCs w:val="16"/>
              </w:rPr>
              <w:t>+9.1</w:t>
            </w:r>
          </w:p>
        </w:tc>
      </w:tr>
      <w:tr w:rsidR="0031292B" w:rsidRPr="006F49D0" w14:paraId="60514A08" w14:textId="77777777" w:rsidTr="00051E5E">
        <w:trPr>
          <w:trHeight w:val="255"/>
        </w:trPr>
        <w:tc>
          <w:tcPr>
            <w:tcW w:w="4106" w:type="dxa"/>
            <w:vAlign w:val="center"/>
          </w:tcPr>
          <w:p w14:paraId="08ABCF15" w14:textId="77777777" w:rsidR="0031292B" w:rsidRPr="00D32F4A" w:rsidRDefault="0031292B" w:rsidP="00E004D8">
            <w:pPr>
              <w:widowControl w:val="0"/>
              <w:spacing w:after="0"/>
              <w:rPr>
                <w:rFonts w:ascii="Arial" w:hAnsi="Arial" w:cs="Arial"/>
                <w:b/>
                <w:sz w:val="18"/>
                <w:szCs w:val="16"/>
              </w:rPr>
            </w:pPr>
            <w:r>
              <w:rPr>
                <w:rFonts w:ascii="Arial" w:hAnsi="Arial"/>
                <w:b/>
                <w:sz w:val="18"/>
                <w:szCs w:val="16"/>
              </w:rPr>
              <w:t>Most popular sub-market</w:t>
            </w:r>
          </w:p>
        </w:tc>
        <w:tc>
          <w:tcPr>
            <w:tcW w:w="1985" w:type="dxa"/>
            <w:vAlign w:val="center"/>
          </w:tcPr>
          <w:p w14:paraId="42340284"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Hamburg North East, Hamburg South</w:t>
            </w:r>
          </w:p>
        </w:tc>
      </w:tr>
      <w:tr w:rsidR="0031292B" w14:paraId="66255E82" w14:textId="77777777" w:rsidTr="00051E5E">
        <w:trPr>
          <w:trHeight w:val="255"/>
        </w:trPr>
        <w:tc>
          <w:tcPr>
            <w:tcW w:w="4106" w:type="dxa"/>
            <w:vAlign w:val="center"/>
          </w:tcPr>
          <w:p w14:paraId="29920B12" w14:textId="77777777" w:rsidR="0031292B" w:rsidRPr="00D32F4A" w:rsidRDefault="0031292B" w:rsidP="00596C49">
            <w:pPr>
              <w:widowControl w:val="0"/>
              <w:spacing w:after="0"/>
              <w:rPr>
                <w:rFonts w:ascii="Arial" w:hAnsi="Arial" w:cs="Arial"/>
                <w:sz w:val="18"/>
                <w:szCs w:val="16"/>
              </w:rPr>
            </w:pPr>
            <w:r>
              <w:rPr>
                <w:rFonts w:ascii="Arial" w:hAnsi="Arial"/>
                <w:sz w:val="18"/>
                <w:szCs w:val="16"/>
              </w:rPr>
              <w:t>Most popular sub-market [%]</w:t>
            </w:r>
          </w:p>
        </w:tc>
        <w:tc>
          <w:tcPr>
            <w:tcW w:w="1985" w:type="dxa"/>
            <w:vAlign w:val="center"/>
          </w:tcPr>
          <w:p w14:paraId="62BF762C"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27</w:t>
            </w:r>
          </w:p>
        </w:tc>
      </w:tr>
      <w:tr w:rsidR="0031292B" w:rsidRPr="006F49D0" w14:paraId="309B0A77" w14:textId="77777777" w:rsidTr="00051E5E">
        <w:trPr>
          <w:trHeight w:val="255"/>
        </w:trPr>
        <w:tc>
          <w:tcPr>
            <w:tcW w:w="4106" w:type="dxa"/>
            <w:tcBorders>
              <w:bottom w:val="single" w:sz="4" w:space="0" w:color="auto"/>
            </w:tcBorders>
            <w:vAlign w:val="center"/>
          </w:tcPr>
          <w:p w14:paraId="42A789FA" w14:textId="77777777" w:rsidR="0031292B" w:rsidRPr="004712BA" w:rsidRDefault="0031292B" w:rsidP="00596C49">
            <w:pPr>
              <w:widowControl w:val="0"/>
              <w:spacing w:before="60" w:after="60"/>
              <w:jc w:val="both"/>
              <w:rPr>
                <w:rFonts w:ascii="Arial" w:hAnsi="Arial" w:cs="Arial"/>
                <w:b/>
                <w:sz w:val="18"/>
                <w:szCs w:val="16"/>
              </w:rPr>
            </w:pPr>
            <w:r>
              <w:rPr>
                <w:rFonts w:ascii="Arial" w:hAnsi="Arial"/>
                <w:b/>
                <w:sz w:val="18"/>
                <w:szCs w:val="16"/>
              </w:rPr>
              <w:t>Industry with highest turnover</w:t>
            </w:r>
          </w:p>
        </w:tc>
        <w:tc>
          <w:tcPr>
            <w:tcW w:w="1985" w:type="dxa"/>
            <w:tcBorders>
              <w:bottom w:val="single" w:sz="4" w:space="0" w:color="auto"/>
            </w:tcBorders>
            <w:vAlign w:val="center"/>
          </w:tcPr>
          <w:p w14:paraId="3065131D" w14:textId="77777777" w:rsidR="0031292B" w:rsidRPr="004712BA" w:rsidRDefault="00E004D8" w:rsidP="00596C49">
            <w:pPr>
              <w:widowControl w:val="0"/>
              <w:spacing w:before="60" w:after="60"/>
              <w:jc w:val="right"/>
              <w:rPr>
                <w:rFonts w:ascii="Arial" w:hAnsi="Arial" w:cs="Arial"/>
                <w:sz w:val="18"/>
                <w:szCs w:val="16"/>
              </w:rPr>
            </w:pPr>
            <w:r>
              <w:rPr>
                <w:rFonts w:ascii="Arial" w:hAnsi="Arial"/>
                <w:sz w:val="18"/>
                <w:szCs w:val="16"/>
              </w:rPr>
              <w:t xml:space="preserve">Logistics &amp; </w:t>
            </w:r>
            <w:r w:rsidR="0031292B">
              <w:rPr>
                <w:rFonts w:ascii="Arial" w:hAnsi="Arial"/>
                <w:sz w:val="18"/>
                <w:szCs w:val="16"/>
              </w:rPr>
              <w:t>forwarding</w:t>
            </w:r>
          </w:p>
        </w:tc>
      </w:tr>
      <w:tr w:rsidR="0031292B" w:rsidRPr="006F49D0" w14:paraId="4ED56220" w14:textId="77777777" w:rsidTr="00051E5E">
        <w:trPr>
          <w:trHeight w:val="255"/>
        </w:trPr>
        <w:tc>
          <w:tcPr>
            <w:tcW w:w="4106" w:type="dxa"/>
            <w:tcBorders>
              <w:bottom w:val="single" w:sz="4" w:space="0" w:color="auto"/>
            </w:tcBorders>
            <w:vAlign w:val="center"/>
          </w:tcPr>
          <w:p w14:paraId="46ED4348" w14:textId="77777777" w:rsidR="0031292B" w:rsidRPr="004712BA" w:rsidRDefault="0031292B" w:rsidP="00596C49">
            <w:pPr>
              <w:widowControl w:val="0"/>
              <w:spacing w:before="60" w:after="60"/>
              <w:jc w:val="both"/>
              <w:rPr>
                <w:rFonts w:ascii="Arial" w:hAnsi="Arial" w:cs="Arial"/>
                <w:b/>
                <w:sz w:val="18"/>
                <w:szCs w:val="16"/>
              </w:rPr>
            </w:pPr>
            <w:r>
              <w:rPr>
                <w:rFonts w:ascii="Arial" w:hAnsi="Arial"/>
                <w:sz w:val="18"/>
                <w:szCs w:val="16"/>
              </w:rPr>
              <w:t>Industry with highest turnover [%]</w:t>
            </w:r>
          </w:p>
        </w:tc>
        <w:tc>
          <w:tcPr>
            <w:tcW w:w="1985" w:type="dxa"/>
            <w:tcBorders>
              <w:bottom w:val="single" w:sz="4" w:space="0" w:color="auto"/>
            </w:tcBorders>
            <w:vAlign w:val="center"/>
          </w:tcPr>
          <w:p w14:paraId="173B0902" w14:textId="77777777" w:rsidR="0031292B" w:rsidRPr="004712BA" w:rsidRDefault="0031292B" w:rsidP="00596C49">
            <w:pPr>
              <w:widowControl w:val="0"/>
              <w:spacing w:before="60" w:after="60"/>
              <w:jc w:val="right"/>
              <w:rPr>
                <w:rFonts w:ascii="Arial" w:hAnsi="Arial" w:cs="Arial"/>
                <w:sz w:val="18"/>
                <w:szCs w:val="16"/>
              </w:rPr>
            </w:pPr>
            <w:r>
              <w:rPr>
                <w:rFonts w:ascii="Arial" w:hAnsi="Arial"/>
                <w:sz w:val="18"/>
                <w:szCs w:val="16"/>
              </w:rPr>
              <w:t>38</w:t>
            </w:r>
          </w:p>
        </w:tc>
      </w:tr>
    </w:tbl>
    <w:p w14:paraId="6B223BA4" w14:textId="77777777" w:rsidR="0031292B" w:rsidRDefault="0031292B" w:rsidP="0031292B">
      <w:pPr>
        <w:tabs>
          <w:tab w:val="left" w:pos="1730"/>
        </w:tabs>
        <w:spacing w:after="0" w:line="360" w:lineRule="auto"/>
        <w:rPr>
          <w:rFonts w:ascii="Arial" w:hAnsi="Arial" w:cs="Arial"/>
          <w:b/>
          <w:sz w:val="20"/>
          <w:szCs w:val="20"/>
        </w:rPr>
      </w:pPr>
      <w:r>
        <w:rPr>
          <w:rFonts w:ascii="Arial" w:hAnsi="Arial"/>
          <w:b/>
          <w:sz w:val="20"/>
          <w:szCs w:val="20"/>
        </w:rPr>
        <w:tab/>
      </w:r>
    </w:p>
    <w:p w14:paraId="1B56F080" w14:textId="77777777" w:rsidR="0031292B" w:rsidRDefault="0031292B" w:rsidP="0031292B">
      <w:pPr>
        <w:spacing w:after="0" w:line="360" w:lineRule="auto"/>
        <w:rPr>
          <w:rFonts w:ascii="Arial" w:hAnsi="Arial" w:cs="Arial"/>
          <w:b/>
          <w:sz w:val="20"/>
          <w:szCs w:val="20"/>
        </w:rPr>
      </w:pPr>
    </w:p>
    <w:p w14:paraId="715523F5" w14:textId="77777777" w:rsidR="0031292B" w:rsidRDefault="0031292B" w:rsidP="0031292B">
      <w:pPr>
        <w:spacing w:after="0" w:line="360" w:lineRule="auto"/>
        <w:rPr>
          <w:rFonts w:ascii="Arial" w:hAnsi="Arial" w:cs="Arial"/>
          <w:b/>
          <w:sz w:val="20"/>
          <w:szCs w:val="20"/>
        </w:rPr>
      </w:pPr>
    </w:p>
    <w:p w14:paraId="6A515674" w14:textId="77777777" w:rsidR="0031292B" w:rsidRDefault="0031292B" w:rsidP="0031292B">
      <w:pPr>
        <w:spacing w:after="0" w:line="360" w:lineRule="auto"/>
        <w:rPr>
          <w:rFonts w:ascii="Arial" w:hAnsi="Arial" w:cs="Arial"/>
          <w:b/>
          <w:sz w:val="20"/>
          <w:szCs w:val="20"/>
        </w:rPr>
      </w:pPr>
    </w:p>
    <w:p w14:paraId="4D6E8212" w14:textId="77777777" w:rsidR="0031292B" w:rsidRDefault="0031292B" w:rsidP="0031292B">
      <w:pPr>
        <w:spacing w:after="0" w:line="360" w:lineRule="auto"/>
        <w:rPr>
          <w:rFonts w:ascii="Arial" w:hAnsi="Arial" w:cs="Arial"/>
          <w:b/>
          <w:sz w:val="20"/>
          <w:szCs w:val="20"/>
        </w:rPr>
      </w:pPr>
    </w:p>
    <w:p w14:paraId="2380D5E4" w14:textId="77777777" w:rsidR="00E004D8" w:rsidRDefault="00E004D8" w:rsidP="0031292B">
      <w:pPr>
        <w:spacing w:after="0" w:line="360" w:lineRule="auto"/>
        <w:rPr>
          <w:rFonts w:ascii="Arial" w:hAnsi="Arial" w:cs="Arial"/>
          <w:b/>
          <w:sz w:val="20"/>
          <w:szCs w:val="20"/>
        </w:rPr>
      </w:pPr>
    </w:p>
    <w:p w14:paraId="209A4E24" w14:textId="77777777" w:rsidR="00E004D8" w:rsidRDefault="00E004D8" w:rsidP="0031292B">
      <w:pPr>
        <w:spacing w:after="0" w:line="360" w:lineRule="auto"/>
        <w:rPr>
          <w:rFonts w:ascii="Arial" w:hAnsi="Arial" w:cs="Arial"/>
          <w:b/>
          <w:sz w:val="20"/>
          <w:szCs w:val="20"/>
        </w:rPr>
      </w:pPr>
    </w:p>
    <w:p w14:paraId="5AB48B66" w14:textId="77777777" w:rsidR="0031292B" w:rsidRPr="004C4080" w:rsidRDefault="0031292B" w:rsidP="0031292B">
      <w:pPr>
        <w:spacing w:after="0" w:line="360" w:lineRule="auto"/>
        <w:rPr>
          <w:rFonts w:ascii="Arial" w:hAnsi="Arial" w:cs="Arial"/>
          <w:b/>
          <w:sz w:val="20"/>
          <w:szCs w:val="20"/>
        </w:rPr>
      </w:pPr>
      <w:r>
        <w:rPr>
          <w:rFonts w:ascii="Arial" w:hAnsi="Arial"/>
          <w:b/>
          <w:sz w:val="20"/>
          <w:szCs w:val="20"/>
        </w:rPr>
        <w:t xml:space="preserve">Selected top </w:t>
      </w:r>
      <w:r w:rsidR="00E004D8">
        <w:rPr>
          <w:rFonts w:ascii="Arial" w:hAnsi="Arial"/>
          <w:b/>
          <w:sz w:val="20"/>
          <w:szCs w:val="20"/>
        </w:rPr>
        <w:t xml:space="preserve">known </w:t>
      </w:r>
      <w:r>
        <w:rPr>
          <w:rFonts w:ascii="Arial" w:hAnsi="Arial"/>
          <w:b/>
          <w:sz w:val="20"/>
          <w:szCs w:val="20"/>
        </w:rPr>
        <w:t>transactions | industrial &amp; logistics | Hamburg &amp; environs | 2023 Q1</w:t>
      </w:r>
    </w:p>
    <w:tbl>
      <w:tblPr>
        <w:tblStyle w:val="Tabellenraster"/>
        <w:tblpPr w:leftFromText="141" w:rightFromText="141" w:vertAnchor="text" w:horzAnchor="margin" w:tblpY="-23"/>
        <w:tblW w:w="9634" w:type="dxa"/>
        <w:tblLook w:val="04A0" w:firstRow="1" w:lastRow="0" w:firstColumn="1" w:lastColumn="0" w:noHBand="0" w:noVBand="1"/>
      </w:tblPr>
      <w:tblGrid>
        <w:gridCol w:w="1080"/>
        <w:gridCol w:w="2317"/>
        <w:gridCol w:w="3119"/>
        <w:gridCol w:w="2126"/>
        <w:gridCol w:w="992"/>
      </w:tblGrid>
      <w:tr w:rsidR="0031292B" w:rsidRPr="0017364E" w14:paraId="606E2099" w14:textId="77777777" w:rsidTr="0031292B">
        <w:trPr>
          <w:trHeight w:val="542"/>
        </w:trPr>
        <w:tc>
          <w:tcPr>
            <w:tcW w:w="1080" w:type="dxa"/>
            <w:shd w:val="clear" w:color="auto" w:fill="000000" w:themeFill="text1"/>
          </w:tcPr>
          <w:p w14:paraId="5B54BD77" w14:textId="77777777" w:rsidR="0031292B" w:rsidRPr="0031292B" w:rsidRDefault="0031292B" w:rsidP="0031292B">
            <w:pPr>
              <w:widowControl w:val="0"/>
              <w:spacing w:before="60" w:after="60"/>
              <w:jc w:val="center"/>
              <w:rPr>
                <w:rFonts w:ascii="Arial" w:hAnsi="Arial" w:cs="Arial"/>
                <w:b/>
                <w:color w:val="FFFFFF" w:themeColor="background1"/>
                <w:sz w:val="16"/>
                <w:szCs w:val="16"/>
              </w:rPr>
            </w:pPr>
            <w:r>
              <w:rPr>
                <w:rFonts w:ascii="Arial" w:hAnsi="Arial"/>
                <w:b/>
                <w:color w:val="FFFFFF" w:themeColor="background1"/>
                <w:sz w:val="16"/>
                <w:szCs w:val="16"/>
              </w:rPr>
              <w:t>City</w:t>
            </w:r>
          </w:p>
        </w:tc>
        <w:tc>
          <w:tcPr>
            <w:tcW w:w="2317" w:type="dxa"/>
            <w:shd w:val="clear" w:color="auto" w:fill="000000" w:themeFill="text1"/>
          </w:tcPr>
          <w:p w14:paraId="5CF57045" w14:textId="77777777" w:rsidR="0031292B" w:rsidRPr="0031292B" w:rsidRDefault="0031292B" w:rsidP="0031292B">
            <w:pPr>
              <w:widowControl w:val="0"/>
              <w:spacing w:before="60" w:after="60"/>
              <w:jc w:val="center"/>
              <w:rPr>
                <w:rFonts w:ascii="Arial" w:hAnsi="Arial" w:cs="Arial"/>
                <w:b/>
                <w:color w:val="FFFFFF" w:themeColor="background1"/>
                <w:sz w:val="16"/>
                <w:szCs w:val="16"/>
              </w:rPr>
            </w:pPr>
            <w:r>
              <w:rPr>
                <w:rFonts w:ascii="Arial" w:hAnsi="Arial"/>
                <w:b/>
                <w:color w:val="FFFFFF" w:themeColor="background1"/>
                <w:sz w:val="16"/>
                <w:szCs w:val="16"/>
              </w:rPr>
              <w:t>Road/street</w:t>
            </w:r>
          </w:p>
        </w:tc>
        <w:tc>
          <w:tcPr>
            <w:tcW w:w="3119" w:type="dxa"/>
            <w:shd w:val="clear" w:color="auto" w:fill="000000" w:themeFill="text1"/>
          </w:tcPr>
          <w:p w14:paraId="4EE0F270" w14:textId="77777777" w:rsidR="0031292B" w:rsidRPr="0031292B" w:rsidRDefault="0031292B" w:rsidP="0031292B">
            <w:pPr>
              <w:widowControl w:val="0"/>
              <w:spacing w:before="60" w:after="60"/>
              <w:jc w:val="center"/>
              <w:rPr>
                <w:rFonts w:ascii="Arial" w:hAnsi="Arial" w:cs="Arial"/>
                <w:b/>
                <w:color w:val="FFFFFF" w:themeColor="background1"/>
                <w:sz w:val="16"/>
                <w:szCs w:val="16"/>
              </w:rPr>
            </w:pPr>
            <w:r>
              <w:rPr>
                <w:rFonts w:ascii="Arial" w:hAnsi="Arial"/>
                <w:b/>
                <w:color w:val="FFFFFF" w:themeColor="background1"/>
                <w:sz w:val="16"/>
                <w:szCs w:val="16"/>
              </w:rPr>
              <w:t>Property/project</w:t>
            </w:r>
          </w:p>
        </w:tc>
        <w:tc>
          <w:tcPr>
            <w:tcW w:w="2126" w:type="dxa"/>
            <w:shd w:val="clear" w:color="auto" w:fill="000000" w:themeFill="text1"/>
          </w:tcPr>
          <w:p w14:paraId="26C197B1" w14:textId="77777777" w:rsidR="0031292B" w:rsidRPr="0031292B" w:rsidRDefault="0031292B" w:rsidP="0031292B">
            <w:pPr>
              <w:widowControl w:val="0"/>
              <w:spacing w:before="60" w:after="60"/>
              <w:jc w:val="center"/>
              <w:rPr>
                <w:rFonts w:ascii="Arial" w:hAnsi="Arial" w:cs="Arial"/>
                <w:b/>
                <w:color w:val="FFFFFF" w:themeColor="background1"/>
                <w:sz w:val="16"/>
                <w:szCs w:val="16"/>
              </w:rPr>
            </w:pPr>
            <w:r>
              <w:rPr>
                <w:rFonts w:ascii="Arial" w:hAnsi="Arial"/>
                <w:b/>
                <w:color w:val="FFFFFF" w:themeColor="background1"/>
                <w:sz w:val="16"/>
                <w:szCs w:val="16"/>
              </w:rPr>
              <w:t>Tenant/owner-occupier</w:t>
            </w:r>
          </w:p>
        </w:tc>
        <w:tc>
          <w:tcPr>
            <w:tcW w:w="992" w:type="dxa"/>
            <w:shd w:val="clear" w:color="auto" w:fill="000000" w:themeFill="text1"/>
          </w:tcPr>
          <w:p w14:paraId="6BE53571" w14:textId="77777777" w:rsidR="0031292B" w:rsidRPr="0031292B" w:rsidRDefault="0031292B" w:rsidP="0031292B">
            <w:pPr>
              <w:widowControl w:val="0"/>
              <w:spacing w:after="0"/>
              <w:jc w:val="center"/>
              <w:rPr>
                <w:rFonts w:ascii="Arial" w:hAnsi="Arial" w:cs="Arial"/>
                <w:b/>
                <w:color w:val="FFFFFF" w:themeColor="background1"/>
                <w:sz w:val="16"/>
                <w:szCs w:val="16"/>
              </w:rPr>
            </w:pPr>
            <w:r>
              <w:rPr>
                <w:rFonts w:ascii="Arial" w:hAnsi="Arial"/>
                <w:b/>
                <w:color w:val="FFFFFF" w:themeColor="background1"/>
                <w:sz w:val="16"/>
                <w:szCs w:val="16"/>
              </w:rPr>
              <w:t>Floor area</w:t>
            </w:r>
          </w:p>
          <w:p w14:paraId="53402F94" w14:textId="77777777" w:rsidR="0031292B" w:rsidRPr="00051E5E" w:rsidRDefault="0031292B" w:rsidP="0031292B">
            <w:pPr>
              <w:widowControl w:val="0"/>
              <w:spacing w:before="60" w:after="60"/>
              <w:jc w:val="center"/>
              <w:rPr>
                <w:rFonts w:ascii="Arial" w:hAnsi="Arial" w:cs="Arial"/>
                <w:color w:val="FFFFFF" w:themeColor="background1"/>
                <w:sz w:val="16"/>
                <w:szCs w:val="16"/>
              </w:rPr>
            </w:pPr>
            <w:r w:rsidRPr="00051E5E">
              <w:rPr>
                <w:rFonts w:ascii="Arial" w:hAnsi="Arial"/>
                <w:color w:val="FFFFFF" w:themeColor="background1"/>
                <w:sz w:val="16"/>
                <w:szCs w:val="16"/>
              </w:rPr>
              <w:t>[ca. m²]</w:t>
            </w:r>
          </w:p>
        </w:tc>
      </w:tr>
      <w:tr w:rsidR="0031292B" w:rsidRPr="0017364E" w14:paraId="5C80EDF1" w14:textId="77777777" w:rsidTr="00596C49">
        <w:trPr>
          <w:trHeight w:val="542"/>
        </w:trPr>
        <w:tc>
          <w:tcPr>
            <w:tcW w:w="1080" w:type="dxa"/>
            <w:shd w:val="clear" w:color="auto" w:fill="auto"/>
            <w:vAlign w:val="center"/>
          </w:tcPr>
          <w:p w14:paraId="7BE573A2" w14:textId="77777777" w:rsidR="0031292B" w:rsidRPr="004C4080" w:rsidRDefault="0031292B" w:rsidP="00596C49">
            <w:pPr>
              <w:spacing w:before="60" w:after="60"/>
              <w:rPr>
                <w:rFonts w:ascii="Arial" w:hAnsi="Arial" w:cs="Arial"/>
                <w:sz w:val="16"/>
                <w:szCs w:val="16"/>
              </w:rPr>
            </w:pPr>
            <w:r>
              <w:rPr>
                <w:rFonts w:ascii="Arial" w:hAnsi="Arial"/>
                <w:sz w:val="16"/>
                <w:szCs w:val="16"/>
              </w:rPr>
              <w:t>Hamburg</w:t>
            </w:r>
          </w:p>
        </w:tc>
        <w:tc>
          <w:tcPr>
            <w:tcW w:w="2317" w:type="dxa"/>
            <w:shd w:val="clear" w:color="auto" w:fill="auto"/>
            <w:vAlign w:val="center"/>
          </w:tcPr>
          <w:p w14:paraId="2C91F6D4" w14:textId="77777777" w:rsidR="0031292B" w:rsidRDefault="0031292B" w:rsidP="00596C49">
            <w:pPr>
              <w:spacing w:before="60" w:after="60"/>
              <w:rPr>
                <w:rFonts w:ascii="Arial" w:hAnsi="Arial" w:cs="Arial"/>
                <w:sz w:val="16"/>
                <w:szCs w:val="16"/>
              </w:rPr>
            </w:pPr>
            <w:r>
              <w:rPr>
                <w:rFonts w:ascii="Arial" w:hAnsi="Arial"/>
                <w:sz w:val="16"/>
                <w:szCs w:val="16"/>
              </w:rPr>
              <w:t xml:space="preserve">Am </w:t>
            </w:r>
            <w:proofErr w:type="spellStart"/>
            <w:r>
              <w:rPr>
                <w:rFonts w:ascii="Arial" w:hAnsi="Arial"/>
                <w:sz w:val="16"/>
                <w:szCs w:val="16"/>
              </w:rPr>
              <w:t>Altenwerder</w:t>
            </w:r>
            <w:proofErr w:type="spellEnd"/>
            <w:r>
              <w:rPr>
                <w:rFonts w:ascii="Arial" w:hAnsi="Arial"/>
                <w:sz w:val="16"/>
                <w:szCs w:val="16"/>
              </w:rPr>
              <w:t xml:space="preserve"> </w:t>
            </w:r>
            <w:proofErr w:type="spellStart"/>
            <w:r>
              <w:rPr>
                <w:rFonts w:ascii="Arial" w:hAnsi="Arial"/>
                <w:sz w:val="16"/>
                <w:szCs w:val="16"/>
              </w:rPr>
              <w:t>Kirchtal</w:t>
            </w:r>
            <w:proofErr w:type="spellEnd"/>
            <w:r>
              <w:rPr>
                <w:rFonts w:ascii="Arial" w:hAnsi="Arial"/>
                <w:sz w:val="16"/>
                <w:szCs w:val="16"/>
              </w:rPr>
              <w:t xml:space="preserve"> 1-3</w:t>
            </w:r>
          </w:p>
        </w:tc>
        <w:tc>
          <w:tcPr>
            <w:tcW w:w="3119" w:type="dxa"/>
            <w:shd w:val="clear" w:color="auto" w:fill="auto"/>
            <w:vAlign w:val="center"/>
          </w:tcPr>
          <w:p w14:paraId="76B6E8EC" w14:textId="77777777" w:rsidR="0031292B" w:rsidRPr="00154797" w:rsidRDefault="0031292B" w:rsidP="00596C49">
            <w:pPr>
              <w:spacing w:before="60" w:after="60"/>
              <w:rPr>
                <w:rFonts w:ascii="Arial" w:hAnsi="Arial" w:cs="Arial"/>
                <w:sz w:val="16"/>
                <w:szCs w:val="16"/>
              </w:rPr>
            </w:pPr>
            <w:r>
              <w:rPr>
                <w:rFonts w:ascii="Arial" w:hAnsi="Arial"/>
                <w:sz w:val="16"/>
                <w:szCs w:val="16"/>
              </w:rPr>
              <w:t xml:space="preserve">“Prologis Park Hamburg </w:t>
            </w:r>
            <w:proofErr w:type="spellStart"/>
            <w:r>
              <w:rPr>
                <w:rFonts w:ascii="Arial" w:hAnsi="Arial"/>
                <w:sz w:val="16"/>
                <w:szCs w:val="16"/>
              </w:rPr>
              <w:t>Altenwerder</w:t>
            </w:r>
            <w:proofErr w:type="spellEnd"/>
            <w:r>
              <w:rPr>
                <w:rFonts w:ascii="Arial" w:hAnsi="Arial"/>
                <w:sz w:val="16"/>
                <w:szCs w:val="16"/>
              </w:rPr>
              <w:t>”</w:t>
            </w:r>
          </w:p>
        </w:tc>
        <w:tc>
          <w:tcPr>
            <w:tcW w:w="2126" w:type="dxa"/>
            <w:shd w:val="clear" w:color="auto" w:fill="auto"/>
            <w:vAlign w:val="center"/>
          </w:tcPr>
          <w:p w14:paraId="621291A1" w14:textId="77777777" w:rsidR="0031292B" w:rsidRDefault="0031292B" w:rsidP="00596C49">
            <w:pPr>
              <w:spacing w:before="60" w:after="60"/>
              <w:rPr>
                <w:rFonts w:ascii="Arial" w:hAnsi="Arial" w:cs="Arial"/>
                <w:sz w:val="16"/>
                <w:szCs w:val="16"/>
              </w:rPr>
            </w:pPr>
            <w:r>
              <w:rPr>
                <w:rFonts w:ascii="Arial" w:hAnsi="Arial"/>
                <w:sz w:val="16"/>
                <w:szCs w:val="16"/>
              </w:rPr>
              <w:t>Trading company</w:t>
            </w:r>
          </w:p>
        </w:tc>
        <w:tc>
          <w:tcPr>
            <w:tcW w:w="992" w:type="dxa"/>
            <w:shd w:val="clear" w:color="auto" w:fill="auto"/>
            <w:vAlign w:val="center"/>
          </w:tcPr>
          <w:p w14:paraId="7D69BCE7" w14:textId="77777777" w:rsidR="0031292B" w:rsidRDefault="0031292B" w:rsidP="00596C49">
            <w:pPr>
              <w:spacing w:after="0"/>
              <w:jc w:val="center"/>
              <w:rPr>
                <w:rFonts w:ascii="Arial" w:hAnsi="Arial" w:cs="Arial"/>
                <w:sz w:val="16"/>
                <w:szCs w:val="16"/>
              </w:rPr>
            </w:pPr>
            <w:r>
              <w:rPr>
                <w:rFonts w:ascii="Arial" w:hAnsi="Arial"/>
                <w:sz w:val="16"/>
                <w:szCs w:val="16"/>
              </w:rPr>
              <w:t>14,600</w:t>
            </w:r>
          </w:p>
        </w:tc>
      </w:tr>
      <w:tr w:rsidR="0031292B" w:rsidRPr="0017364E" w14:paraId="5EACE2F6" w14:textId="77777777" w:rsidTr="00596C49">
        <w:trPr>
          <w:trHeight w:val="542"/>
        </w:trPr>
        <w:tc>
          <w:tcPr>
            <w:tcW w:w="1080" w:type="dxa"/>
            <w:shd w:val="clear" w:color="auto" w:fill="auto"/>
            <w:vAlign w:val="center"/>
          </w:tcPr>
          <w:p w14:paraId="5935127D" w14:textId="77777777" w:rsidR="0031292B" w:rsidRPr="004C4080" w:rsidRDefault="0078195B" w:rsidP="00596C49">
            <w:pPr>
              <w:spacing w:before="60" w:after="60"/>
              <w:rPr>
                <w:rFonts w:ascii="Arial" w:hAnsi="Arial" w:cs="Arial"/>
                <w:sz w:val="16"/>
                <w:szCs w:val="16"/>
              </w:rPr>
            </w:pPr>
            <w:proofErr w:type="spellStart"/>
            <w:r>
              <w:rPr>
                <w:rFonts w:ascii="Arial" w:hAnsi="Arial"/>
                <w:sz w:val="16"/>
                <w:szCs w:val="16"/>
              </w:rPr>
              <w:t>Barsbüttel</w:t>
            </w:r>
            <w:proofErr w:type="spellEnd"/>
          </w:p>
        </w:tc>
        <w:tc>
          <w:tcPr>
            <w:tcW w:w="2317" w:type="dxa"/>
            <w:shd w:val="clear" w:color="auto" w:fill="auto"/>
            <w:vAlign w:val="center"/>
          </w:tcPr>
          <w:p w14:paraId="64131A61" w14:textId="77777777" w:rsidR="0031292B" w:rsidRPr="004C4080" w:rsidRDefault="0031292B" w:rsidP="00596C49">
            <w:pPr>
              <w:spacing w:before="60" w:after="60"/>
              <w:rPr>
                <w:rFonts w:ascii="Arial" w:hAnsi="Arial" w:cs="Arial"/>
                <w:sz w:val="16"/>
                <w:szCs w:val="16"/>
              </w:rPr>
            </w:pPr>
            <w:proofErr w:type="spellStart"/>
            <w:r>
              <w:rPr>
                <w:rFonts w:ascii="Arial" w:hAnsi="Arial"/>
                <w:sz w:val="16"/>
                <w:szCs w:val="16"/>
              </w:rPr>
              <w:t>Stemwarder</w:t>
            </w:r>
            <w:proofErr w:type="spellEnd"/>
            <w:r>
              <w:rPr>
                <w:rFonts w:ascii="Arial" w:hAnsi="Arial"/>
                <w:sz w:val="16"/>
                <w:szCs w:val="16"/>
              </w:rPr>
              <w:t xml:space="preserve"> </w:t>
            </w:r>
            <w:proofErr w:type="spellStart"/>
            <w:r>
              <w:rPr>
                <w:rFonts w:ascii="Arial" w:hAnsi="Arial"/>
                <w:sz w:val="16"/>
                <w:szCs w:val="16"/>
              </w:rPr>
              <w:t>Landstrasse</w:t>
            </w:r>
            <w:proofErr w:type="spellEnd"/>
            <w:r>
              <w:rPr>
                <w:rFonts w:ascii="Arial" w:hAnsi="Arial"/>
                <w:sz w:val="16"/>
                <w:szCs w:val="16"/>
              </w:rPr>
              <w:t xml:space="preserve"> 15a</w:t>
            </w:r>
          </w:p>
        </w:tc>
        <w:tc>
          <w:tcPr>
            <w:tcW w:w="3119" w:type="dxa"/>
            <w:shd w:val="clear" w:color="auto" w:fill="auto"/>
            <w:vAlign w:val="center"/>
          </w:tcPr>
          <w:p w14:paraId="4BE7D454" w14:textId="77777777" w:rsidR="0031292B" w:rsidRPr="00154797" w:rsidRDefault="005A519D" w:rsidP="00596C49">
            <w:pPr>
              <w:spacing w:before="60" w:after="60"/>
              <w:rPr>
                <w:rFonts w:ascii="Arial" w:hAnsi="Arial" w:cs="Arial"/>
                <w:sz w:val="16"/>
                <w:szCs w:val="16"/>
              </w:rPr>
            </w:pPr>
            <w:r>
              <w:rPr>
                <w:rFonts w:ascii="Arial" w:hAnsi="Arial"/>
                <w:sz w:val="16"/>
                <w:szCs w:val="16"/>
              </w:rPr>
              <w:t>L</w:t>
            </w:r>
            <w:r w:rsidR="0031292B">
              <w:rPr>
                <w:rFonts w:ascii="Arial" w:hAnsi="Arial"/>
                <w:sz w:val="16"/>
                <w:szCs w:val="16"/>
              </w:rPr>
              <w:t>ogistics hall</w:t>
            </w:r>
          </w:p>
        </w:tc>
        <w:tc>
          <w:tcPr>
            <w:tcW w:w="2126" w:type="dxa"/>
            <w:shd w:val="clear" w:color="auto" w:fill="auto"/>
            <w:vAlign w:val="center"/>
          </w:tcPr>
          <w:p w14:paraId="17C9733C" w14:textId="77777777" w:rsidR="0031292B" w:rsidRPr="004C4080" w:rsidRDefault="0031292B" w:rsidP="00596C49">
            <w:pPr>
              <w:spacing w:before="60" w:after="60"/>
              <w:rPr>
                <w:rFonts w:ascii="Arial" w:hAnsi="Arial" w:cs="Arial"/>
                <w:sz w:val="16"/>
                <w:szCs w:val="16"/>
              </w:rPr>
            </w:pPr>
            <w:r>
              <w:rPr>
                <w:rFonts w:ascii="Arial" w:hAnsi="Arial"/>
                <w:sz w:val="16"/>
                <w:szCs w:val="16"/>
              </w:rPr>
              <w:t>Logistics &amp; forwarding</w:t>
            </w:r>
          </w:p>
        </w:tc>
        <w:tc>
          <w:tcPr>
            <w:tcW w:w="992" w:type="dxa"/>
            <w:shd w:val="clear" w:color="auto" w:fill="auto"/>
            <w:vAlign w:val="center"/>
          </w:tcPr>
          <w:p w14:paraId="26567AAC" w14:textId="77777777" w:rsidR="0031292B" w:rsidRPr="004C4080" w:rsidRDefault="0031292B" w:rsidP="00596C49">
            <w:pPr>
              <w:spacing w:after="0"/>
              <w:jc w:val="center"/>
              <w:rPr>
                <w:rFonts w:ascii="Arial" w:hAnsi="Arial" w:cs="Arial"/>
                <w:sz w:val="16"/>
                <w:szCs w:val="16"/>
              </w:rPr>
            </w:pPr>
            <w:r>
              <w:rPr>
                <w:rFonts w:ascii="Arial" w:hAnsi="Arial"/>
                <w:sz w:val="16"/>
                <w:szCs w:val="16"/>
              </w:rPr>
              <w:t>13,600</w:t>
            </w:r>
          </w:p>
        </w:tc>
      </w:tr>
      <w:tr w:rsidR="0031292B" w:rsidRPr="0017364E" w14:paraId="5761ACBA" w14:textId="77777777" w:rsidTr="00596C49">
        <w:trPr>
          <w:trHeight w:val="542"/>
        </w:trPr>
        <w:tc>
          <w:tcPr>
            <w:tcW w:w="1080" w:type="dxa"/>
            <w:shd w:val="clear" w:color="auto" w:fill="auto"/>
            <w:vAlign w:val="center"/>
          </w:tcPr>
          <w:p w14:paraId="298BE656" w14:textId="77777777" w:rsidR="0031292B" w:rsidRDefault="0031292B" w:rsidP="00596C49">
            <w:pPr>
              <w:spacing w:before="60" w:after="60"/>
              <w:rPr>
                <w:rFonts w:ascii="Arial" w:hAnsi="Arial" w:cs="Arial"/>
                <w:sz w:val="16"/>
                <w:szCs w:val="16"/>
              </w:rPr>
            </w:pPr>
            <w:r>
              <w:rPr>
                <w:rFonts w:ascii="Arial" w:hAnsi="Arial"/>
                <w:sz w:val="16"/>
                <w:szCs w:val="16"/>
              </w:rPr>
              <w:t>Hamburg</w:t>
            </w:r>
          </w:p>
        </w:tc>
        <w:tc>
          <w:tcPr>
            <w:tcW w:w="2317" w:type="dxa"/>
            <w:shd w:val="clear" w:color="auto" w:fill="auto"/>
            <w:vAlign w:val="center"/>
          </w:tcPr>
          <w:p w14:paraId="77104B74" w14:textId="77777777" w:rsidR="0031292B" w:rsidRDefault="0031292B" w:rsidP="00596C49">
            <w:pPr>
              <w:spacing w:before="60" w:after="60"/>
              <w:rPr>
                <w:rFonts w:ascii="Arial" w:hAnsi="Arial" w:cs="Arial"/>
                <w:sz w:val="16"/>
                <w:szCs w:val="16"/>
              </w:rPr>
            </w:pPr>
            <w:r>
              <w:rPr>
                <w:rFonts w:ascii="Arial" w:hAnsi="Arial"/>
                <w:sz w:val="16"/>
                <w:szCs w:val="16"/>
              </w:rPr>
              <w:t>Hamburg North-East</w:t>
            </w:r>
          </w:p>
        </w:tc>
        <w:tc>
          <w:tcPr>
            <w:tcW w:w="3119" w:type="dxa"/>
            <w:shd w:val="clear" w:color="auto" w:fill="auto"/>
            <w:vAlign w:val="center"/>
          </w:tcPr>
          <w:p w14:paraId="472B95A7" w14:textId="77777777" w:rsidR="0031292B" w:rsidRPr="006021B6" w:rsidRDefault="0031292B" w:rsidP="00596C49">
            <w:pPr>
              <w:spacing w:before="60" w:after="60"/>
              <w:rPr>
                <w:rFonts w:ascii="Arial" w:hAnsi="Arial" w:cs="Arial"/>
                <w:sz w:val="16"/>
                <w:szCs w:val="16"/>
              </w:rPr>
            </w:pPr>
            <w:r>
              <w:rPr>
                <w:rFonts w:ascii="Arial" w:hAnsi="Arial"/>
                <w:sz w:val="16"/>
                <w:szCs w:val="16"/>
              </w:rPr>
              <w:t>confidential</w:t>
            </w:r>
          </w:p>
        </w:tc>
        <w:tc>
          <w:tcPr>
            <w:tcW w:w="2126" w:type="dxa"/>
            <w:shd w:val="clear" w:color="auto" w:fill="auto"/>
            <w:vAlign w:val="center"/>
          </w:tcPr>
          <w:p w14:paraId="6E1912E3" w14:textId="77777777" w:rsidR="0031292B" w:rsidRDefault="0031292B" w:rsidP="00596C49">
            <w:pPr>
              <w:spacing w:before="60" w:after="60"/>
              <w:rPr>
                <w:rFonts w:ascii="Arial" w:hAnsi="Arial" w:cs="Arial"/>
                <w:sz w:val="16"/>
                <w:szCs w:val="16"/>
              </w:rPr>
            </w:pPr>
            <w:r>
              <w:rPr>
                <w:rFonts w:ascii="Arial" w:hAnsi="Arial"/>
                <w:sz w:val="16"/>
                <w:szCs w:val="16"/>
              </w:rPr>
              <w:t>confidential</w:t>
            </w:r>
          </w:p>
        </w:tc>
        <w:tc>
          <w:tcPr>
            <w:tcW w:w="992" w:type="dxa"/>
            <w:shd w:val="clear" w:color="auto" w:fill="auto"/>
            <w:vAlign w:val="center"/>
          </w:tcPr>
          <w:p w14:paraId="52F68BE5" w14:textId="77777777" w:rsidR="0031292B" w:rsidRDefault="0031292B" w:rsidP="00596C49">
            <w:pPr>
              <w:spacing w:after="0"/>
              <w:jc w:val="center"/>
              <w:rPr>
                <w:rFonts w:ascii="Arial" w:hAnsi="Arial" w:cs="Arial"/>
                <w:sz w:val="16"/>
                <w:szCs w:val="16"/>
              </w:rPr>
            </w:pPr>
            <w:r>
              <w:rPr>
                <w:rFonts w:ascii="Arial" w:hAnsi="Arial"/>
                <w:sz w:val="16"/>
                <w:szCs w:val="16"/>
              </w:rPr>
              <w:t>11,400</w:t>
            </w:r>
          </w:p>
        </w:tc>
      </w:tr>
    </w:tbl>
    <w:p w14:paraId="592C41EC" w14:textId="77777777" w:rsidR="0031292B" w:rsidRDefault="0031292B" w:rsidP="0031292B">
      <w:pPr>
        <w:spacing w:after="0" w:line="360" w:lineRule="auto"/>
        <w:rPr>
          <w:rFonts w:ascii="Arial" w:eastAsia="Arial" w:hAnsi="Arial" w:cs="Arial"/>
          <w:color w:val="000000" w:themeColor="text1"/>
          <w:sz w:val="20"/>
          <w:szCs w:val="20"/>
        </w:rPr>
      </w:pPr>
    </w:p>
    <w:p w14:paraId="11E9D939" w14:textId="77777777" w:rsidR="0031292B" w:rsidRPr="00051E5E" w:rsidRDefault="0031292B" w:rsidP="0031292B">
      <w:pPr>
        <w:spacing w:after="0" w:line="360" w:lineRule="auto"/>
        <w:rPr>
          <w:rFonts w:ascii="Arial" w:hAnsi="Arial" w:cs="Arial"/>
          <w:b/>
          <w:sz w:val="20"/>
          <w:szCs w:val="20"/>
        </w:rPr>
      </w:pPr>
      <w:r w:rsidRPr="00051E5E">
        <w:rPr>
          <w:rFonts w:ascii="Arial" w:hAnsi="Arial" w:cs="Arial"/>
          <w:sz w:val="20"/>
          <w:szCs w:val="20"/>
        </w:rPr>
        <w:t xml:space="preserve">Our </w:t>
      </w:r>
      <w:hyperlink r:id="rId9" w:history="1">
        <w:r w:rsidR="00051E5E" w:rsidRPr="00051E5E">
          <w:rPr>
            <w:rStyle w:val="Hyperlink"/>
            <w:rFonts w:ascii="Arial" w:hAnsi="Arial" w:cs="Arial"/>
            <w:sz w:val="20"/>
            <w:szCs w:val="20"/>
          </w:rPr>
          <w:t>Market report</w:t>
        </w:r>
        <w:r w:rsidRPr="00051E5E">
          <w:rPr>
            <w:rStyle w:val="Hyperlink"/>
            <w:rFonts w:ascii="Arial" w:hAnsi="Arial" w:cs="Arial"/>
            <w:sz w:val="20"/>
            <w:szCs w:val="20"/>
          </w:rPr>
          <w:t xml:space="preserve"> </w:t>
        </w:r>
        <w:r w:rsidR="00051E5E" w:rsidRPr="00051E5E">
          <w:rPr>
            <w:rStyle w:val="Hyperlink"/>
            <w:rFonts w:ascii="Arial" w:hAnsi="Arial" w:cs="Arial"/>
            <w:sz w:val="20"/>
            <w:szCs w:val="20"/>
          </w:rPr>
          <w:t>industrial and logistics p</w:t>
        </w:r>
        <w:r w:rsidRPr="00051E5E">
          <w:rPr>
            <w:rStyle w:val="Hyperlink"/>
            <w:rFonts w:ascii="Arial" w:hAnsi="Arial" w:cs="Arial"/>
            <w:sz w:val="20"/>
            <w:szCs w:val="20"/>
          </w:rPr>
          <w:t>roperties Hamburg Q2 2023</w:t>
        </w:r>
      </w:hyperlink>
      <w:r w:rsidRPr="00051E5E">
        <w:rPr>
          <w:rFonts w:ascii="Arial" w:hAnsi="Arial" w:cs="Arial"/>
          <w:color w:val="000000" w:themeColor="text1"/>
          <w:sz w:val="20"/>
          <w:szCs w:val="20"/>
        </w:rPr>
        <w:t xml:space="preserve"> in PDF format will be available in mid-year and can be downloaded from our website.</w:t>
      </w:r>
    </w:p>
    <w:p w14:paraId="533F150E" w14:textId="77777777" w:rsidR="0031292B" w:rsidRPr="00E004D8" w:rsidRDefault="0031292B" w:rsidP="0031292B">
      <w:pPr>
        <w:spacing w:after="0" w:line="360" w:lineRule="auto"/>
        <w:rPr>
          <w:rFonts w:ascii="Arial" w:hAnsi="Arial" w:cs="Arial"/>
          <w:b/>
          <w:sz w:val="16"/>
          <w:szCs w:val="16"/>
        </w:rPr>
      </w:pPr>
    </w:p>
    <w:p w14:paraId="19A17C4A" w14:textId="77777777" w:rsidR="00425922" w:rsidRPr="002D162D" w:rsidRDefault="00425922" w:rsidP="00425922">
      <w:pPr>
        <w:spacing w:after="0" w:line="360" w:lineRule="auto"/>
        <w:rPr>
          <w:rFonts w:ascii="Arial" w:hAnsi="Arial" w:cs="Arial"/>
          <w:b/>
          <w:sz w:val="16"/>
          <w:szCs w:val="16"/>
        </w:rPr>
      </w:pPr>
      <w:r w:rsidRPr="002D162D">
        <w:rPr>
          <w:rFonts w:ascii="Arial" w:hAnsi="Arial" w:cs="Arial"/>
          <w:b/>
          <w:sz w:val="16"/>
          <w:szCs w:val="16"/>
        </w:rPr>
        <w:t>About Grossmann &amp; Berger</w:t>
      </w:r>
    </w:p>
    <w:p w14:paraId="6329DAC7" w14:textId="77777777" w:rsidR="00425922" w:rsidRPr="00FF0602" w:rsidRDefault="00425922" w:rsidP="00425922">
      <w:pPr>
        <w:spacing w:after="0" w:line="360" w:lineRule="auto"/>
        <w:rPr>
          <w:rFonts w:ascii="Arial" w:hAnsi="Arial" w:cs="Arial"/>
          <w:vanish/>
          <w:sz w:val="16"/>
          <w:szCs w:val="16"/>
          <w:specVanish/>
        </w:rPr>
      </w:pPr>
      <w:hyperlink r:id="rId10" w:history="1">
        <w:r w:rsidRPr="002D162D">
          <w:rPr>
            <w:rStyle w:val="Hyperlink"/>
            <w:rFonts w:ascii="Arial" w:hAnsi="Arial" w:cs="Arial"/>
            <w:snapToGrid w:val="0"/>
            <w:sz w:val="16"/>
            <w:szCs w:val="16"/>
          </w:rPr>
          <w:t>Grossmann &amp; Berger GmbH</w:t>
        </w:r>
      </w:hyperlink>
      <w:r w:rsidRPr="002D162D">
        <w:rPr>
          <w:rFonts w:ascii="Arial" w:hAnsi="Arial" w:cs="Arial"/>
          <w:snapToGrid w:val="0"/>
          <w:sz w:val="16"/>
          <w:szCs w:val="16"/>
        </w:rPr>
        <w:t xml:space="preserve"> is one of the leading service providers in the business of selling and letting commercial and residential properties. </w:t>
      </w:r>
      <w:r>
        <w:rPr>
          <w:rFonts w:ascii="Arial" w:hAnsi="Arial" w:cs="Arial"/>
          <w:snapToGrid w:val="0"/>
          <w:sz w:val="16"/>
          <w:szCs w:val="16"/>
        </w:rPr>
        <w:t>Including its</w:t>
      </w:r>
      <w:r w:rsidRPr="002D162D">
        <w:rPr>
          <w:rFonts w:ascii="Arial" w:hAnsi="Arial" w:cs="Arial"/>
          <w:snapToGrid w:val="0"/>
          <w:sz w:val="16"/>
          <w:szCs w:val="16"/>
        </w:rPr>
        <w:t xml:space="preserve"> headquarters in Hamburg and</w:t>
      </w:r>
      <w:r>
        <w:rPr>
          <w:rFonts w:ascii="Arial" w:hAnsi="Arial"/>
          <w:snapToGrid w:val="0"/>
          <w:sz w:val="16"/>
          <w:szCs w:val="16"/>
        </w:rPr>
        <w:t xml:space="preserve"> locations in Berlin, Stuttgart and Munich, the group of companies consisting of Grossmann &amp; Berger and E &amp; G </w:t>
      </w:r>
      <w:proofErr w:type="spellStart"/>
      <w:r>
        <w:rPr>
          <w:rFonts w:ascii="Arial" w:hAnsi="Arial"/>
          <w:snapToGrid w:val="0"/>
          <w:sz w:val="16"/>
          <w:szCs w:val="16"/>
        </w:rPr>
        <w:t>Immobilien</w:t>
      </w:r>
      <w:proofErr w:type="spellEnd"/>
      <w:r>
        <w:rPr>
          <w:rFonts w:ascii="Arial" w:hAnsi="Arial"/>
          <w:snapToGrid w:val="0"/>
          <w:sz w:val="16"/>
          <w:szCs w:val="16"/>
        </w:rPr>
        <w:t xml:space="preserve"> has 22 local offices throughout Germany. Drawing on their comprehensive expertise in the real estate business, some 250 employees provide the full range of relevant services. They also benefit from the company’s more than 90 years standing in the industry. </w:t>
      </w:r>
      <w:r>
        <w:rPr>
          <w:rFonts w:ascii="Arial" w:hAnsi="Arial"/>
          <w:sz w:val="16"/>
          <w:szCs w:val="16"/>
        </w:rPr>
        <w:t xml:space="preserve">Grossmann &amp; Berger belongs to HASPA Group and is a founding member of the national commercial real estate network </w:t>
      </w:r>
      <w:hyperlink r:id="rId11" w:history="1">
        <w:r>
          <w:rPr>
            <w:rStyle w:val="Hyperlink"/>
            <w:rFonts w:ascii="Arial" w:hAnsi="Arial"/>
            <w:sz w:val="16"/>
            <w:szCs w:val="16"/>
          </w:rPr>
          <w:t>German Property Partners</w:t>
        </w:r>
      </w:hyperlink>
      <w:r>
        <w:rPr>
          <w:rFonts w:ascii="Arial" w:hAnsi="Arial"/>
          <w:sz w:val="16"/>
          <w:szCs w:val="16"/>
        </w:rPr>
        <w:t xml:space="preserve"> (GPP).</w:t>
      </w:r>
    </w:p>
    <w:p w14:paraId="57BAF176" w14:textId="77777777" w:rsidR="00425922" w:rsidRPr="00FF0602" w:rsidRDefault="00425922" w:rsidP="00425922">
      <w:pPr>
        <w:spacing w:after="0" w:line="360" w:lineRule="auto"/>
        <w:rPr>
          <w:rFonts w:ascii="Arial" w:hAnsi="Arial" w:cs="Arial"/>
          <w:sz w:val="16"/>
          <w:szCs w:val="16"/>
        </w:rPr>
      </w:pPr>
    </w:p>
    <w:p w14:paraId="39CE2EA8" w14:textId="77777777" w:rsidR="00425922" w:rsidRDefault="00425922" w:rsidP="00425922">
      <w:pPr>
        <w:spacing w:after="0" w:line="360" w:lineRule="auto"/>
        <w:rPr>
          <w:rFonts w:ascii="Arial" w:hAnsi="Arial" w:cs="Arial"/>
          <w:sz w:val="16"/>
          <w:szCs w:val="16"/>
        </w:rPr>
      </w:pPr>
    </w:p>
    <w:p w14:paraId="35E0C75C" w14:textId="77777777" w:rsidR="00425922" w:rsidRPr="00782CDF" w:rsidRDefault="00425922" w:rsidP="00425922">
      <w:pPr>
        <w:spacing w:after="0" w:line="360" w:lineRule="auto"/>
        <w:rPr>
          <w:rFonts w:ascii="Arial" w:hAnsi="Arial" w:cs="Arial"/>
          <w:b/>
          <w:color w:val="000000" w:themeColor="text1"/>
          <w:spacing w:val="20"/>
          <w:sz w:val="20"/>
          <w:szCs w:val="20"/>
        </w:rPr>
      </w:pPr>
      <w:r>
        <w:rPr>
          <w:rFonts w:ascii="Arial" w:hAnsi="Arial"/>
          <w:sz w:val="16"/>
          <w:szCs w:val="16"/>
        </w:rPr>
        <w:t xml:space="preserve">Please consult our website for Grossmann &amp; Berger’s </w:t>
      </w:r>
      <w:hyperlink r:id="rId12"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3" w:history="1">
        <w:r w:rsidRPr="00BE70E2">
          <w:rPr>
            <w:rStyle w:val="Hyperlink"/>
            <w:rFonts w:ascii="Arial" w:hAnsi="Arial"/>
            <w:sz w:val="16"/>
            <w:szCs w:val="16"/>
          </w:rPr>
          <w:t>press portfolio</w:t>
        </w:r>
      </w:hyperlink>
      <w:r>
        <w:rPr>
          <w:rFonts w:ascii="Arial" w:hAnsi="Arial"/>
          <w:sz w:val="16"/>
          <w:szCs w:val="16"/>
        </w:rPr>
        <w:t xml:space="preserve"> and the associated </w:t>
      </w:r>
      <w:hyperlink r:id="rId14" w:history="1">
        <w:r w:rsidRPr="00BE70E2">
          <w:rPr>
            <w:rStyle w:val="Hyperlink"/>
            <w:rFonts w:ascii="Arial" w:hAnsi="Arial"/>
            <w:sz w:val="16"/>
            <w:szCs w:val="16"/>
          </w:rPr>
          <w:t>terms of use</w:t>
        </w:r>
      </w:hyperlink>
      <w:r>
        <w:rPr>
          <w:rFonts w:ascii="Arial" w:hAnsi="Arial"/>
          <w:sz w:val="16"/>
          <w:szCs w:val="16"/>
        </w:rPr>
        <w:t xml:space="preserve">. If in </w:t>
      </w:r>
      <w:proofErr w:type="gramStart"/>
      <w:r>
        <w:rPr>
          <w:rFonts w:ascii="Arial" w:hAnsi="Arial"/>
          <w:sz w:val="16"/>
          <w:szCs w:val="16"/>
        </w:rPr>
        <w:t>future</w:t>
      </w:r>
      <w:proofErr w:type="gramEnd"/>
      <w:r>
        <w:rPr>
          <w:rFonts w:ascii="Arial" w:hAnsi="Arial"/>
          <w:sz w:val="16"/>
          <w:szCs w:val="16"/>
        </w:rPr>
        <w:t xml:space="preserv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4BC5C42D" w14:textId="4433FDEE" w:rsidR="00503D8C" w:rsidRPr="00503D8C" w:rsidRDefault="00503D8C" w:rsidP="0078195B">
      <w:pPr>
        <w:spacing w:after="0" w:line="360" w:lineRule="auto"/>
        <w:rPr>
          <w:rFonts w:ascii="Arial" w:hAnsi="Arial" w:cs="Arial"/>
          <w:b/>
          <w:color w:val="000000" w:themeColor="text1"/>
          <w:spacing w:val="20"/>
          <w:sz w:val="20"/>
          <w:szCs w:val="20"/>
        </w:rPr>
      </w:pPr>
    </w:p>
    <w:sectPr w:rsidR="00503D8C" w:rsidRPr="00503D8C" w:rsidSect="00D83CB7">
      <w:headerReference w:type="even" r:id="rId16"/>
      <w:headerReference w:type="default" r:id="rId17"/>
      <w:footerReference w:type="even"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952F" w14:textId="77777777" w:rsidR="00205232" w:rsidRDefault="00205232">
      <w:r>
        <w:separator/>
      </w:r>
    </w:p>
  </w:endnote>
  <w:endnote w:type="continuationSeparator" w:id="0">
    <w:p w14:paraId="4550DE28" w14:textId="77777777" w:rsidR="00205232" w:rsidRDefault="0020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D75E" w14:textId="77777777" w:rsidR="008B4418" w:rsidRDefault="008B44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3233"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E004D8">
      <w:rPr>
        <w:rFonts w:ascii="Arial" w:hAnsi="Arial"/>
        <w:b/>
        <w:bCs/>
        <w:color w:val="918F90"/>
        <w:sz w:val="18"/>
        <w:szCs w:val="18"/>
        <w:lang w:val="de-DE"/>
      </w:rPr>
      <w:t xml:space="preserve">Grossmann &amp; Berger GmbH </w:t>
    </w:r>
    <w:r w:rsidRPr="00E004D8">
      <w:rPr>
        <w:rFonts w:ascii="Arial" w:hAnsi="Arial"/>
        <w:color w:val="918F90"/>
        <w:sz w:val="18"/>
        <w:szCs w:val="18"/>
        <w:lang w:val="de-DE"/>
      </w:rPr>
      <w:t xml:space="preserve">| </w:t>
    </w:r>
    <w:proofErr w:type="spellStart"/>
    <w:r w:rsidRPr="00E004D8">
      <w:rPr>
        <w:rFonts w:ascii="Arial" w:hAnsi="Arial"/>
        <w:color w:val="918F90"/>
        <w:sz w:val="18"/>
        <w:szCs w:val="18"/>
        <w:lang w:val="de-DE"/>
      </w:rPr>
      <w:t>Bleichenbrücke</w:t>
    </w:r>
    <w:proofErr w:type="spellEnd"/>
    <w:r w:rsidRPr="00E004D8">
      <w:rPr>
        <w:rFonts w:ascii="Arial" w:hAnsi="Arial"/>
        <w:color w:val="918F90"/>
        <w:sz w:val="18"/>
        <w:szCs w:val="18"/>
        <w:lang w:val="de-DE"/>
      </w:rPr>
      <w:t xml:space="preserve"> 9 | 20354 Hamburg | Tel. </w:t>
    </w:r>
    <w:r>
      <w:rPr>
        <w:rFonts w:ascii="Arial" w:hAnsi="Arial"/>
        <w:color w:val="918F90"/>
        <w:sz w:val="18"/>
        <w:szCs w:val="18"/>
      </w:rPr>
      <w:t>+49 (0)40 / 350 80 2-0 | grossmann-berger.de</w:t>
    </w:r>
  </w:p>
  <w:p w14:paraId="02ACD1A8" w14:textId="77777777"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78195B">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78195B">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88A7" w14:textId="77777777" w:rsidR="008C608D" w:rsidRDefault="008C608D">
    <w:pPr>
      <w:pStyle w:val="Fuzeile"/>
    </w:pPr>
    <w:r>
      <w:rPr>
        <w:noProof/>
        <w:lang w:val="de-DE" w:eastAsia="de-DE"/>
      </w:rPr>
      <w:drawing>
        <wp:anchor distT="0" distB="0" distL="0" distR="0" simplePos="0" relativeHeight="251659264" behindDoc="0" locked="0" layoutInCell="0" allowOverlap="1" wp14:anchorId="59B5EEC9" wp14:editId="339672FB">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663A" w14:textId="77777777" w:rsidR="00205232" w:rsidRDefault="00205232">
      <w:r>
        <w:separator/>
      </w:r>
    </w:p>
  </w:footnote>
  <w:footnote w:type="continuationSeparator" w:id="0">
    <w:p w14:paraId="2627A585" w14:textId="77777777" w:rsidR="00205232" w:rsidRDefault="0020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C8BE" w14:textId="77777777" w:rsidR="008B4418" w:rsidRDefault="008B44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1B5E"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0E122846" wp14:editId="699FAF8A">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2DC5D87B"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23679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482AAF54" w14:textId="77777777" w:rsidR="00CE455F" w:rsidRDefault="00CE45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E2E"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E1E1E1F" wp14:editId="54764EB2">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4372810D" w14:textId="7777777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FA1027"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6A5D7FF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4B1188"/>
    <w:multiLevelType w:val="hybridMultilevel"/>
    <w:tmpl w:val="034E419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3"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4"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860512531">
    <w:abstractNumId w:val="10"/>
  </w:num>
  <w:num w:numId="2" w16cid:durableId="550268724">
    <w:abstractNumId w:val="8"/>
  </w:num>
  <w:num w:numId="3" w16cid:durableId="2012642066">
    <w:abstractNumId w:val="7"/>
  </w:num>
  <w:num w:numId="4" w16cid:durableId="1181508563">
    <w:abstractNumId w:val="6"/>
  </w:num>
  <w:num w:numId="5" w16cid:durableId="1550143489">
    <w:abstractNumId w:val="5"/>
  </w:num>
  <w:num w:numId="6" w16cid:durableId="666516827">
    <w:abstractNumId w:val="9"/>
  </w:num>
  <w:num w:numId="7" w16cid:durableId="815996895">
    <w:abstractNumId w:val="4"/>
  </w:num>
  <w:num w:numId="8" w16cid:durableId="1668940517">
    <w:abstractNumId w:val="3"/>
  </w:num>
  <w:num w:numId="9" w16cid:durableId="1685666723">
    <w:abstractNumId w:val="2"/>
  </w:num>
  <w:num w:numId="10" w16cid:durableId="197813627">
    <w:abstractNumId w:val="1"/>
  </w:num>
  <w:num w:numId="11" w16cid:durableId="147282414">
    <w:abstractNumId w:val="0"/>
  </w:num>
  <w:num w:numId="12" w16cid:durableId="1271543720">
    <w:abstractNumId w:val="12"/>
  </w:num>
  <w:num w:numId="13" w16cid:durableId="795755110">
    <w:abstractNumId w:val="15"/>
  </w:num>
  <w:num w:numId="14" w16cid:durableId="1750343984">
    <w:abstractNumId w:val="13"/>
  </w:num>
  <w:num w:numId="15" w16cid:durableId="1346588414">
    <w:abstractNumId w:val="14"/>
  </w:num>
  <w:num w:numId="16" w16cid:durableId="194513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4661EE"/>
    <w:rsid w:val="000159FE"/>
    <w:rsid w:val="00022F16"/>
    <w:rsid w:val="00023D78"/>
    <w:rsid w:val="0003075C"/>
    <w:rsid w:val="00051E5E"/>
    <w:rsid w:val="00060743"/>
    <w:rsid w:val="00066796"/>
    <w:rsid w:val="000766D7"/>
    <w:rsid w:val="000B3315"/>
    <w:rsid w:val="000C770D"/>
    <w:rsid w:val="000E03F3"/>
    <w:rsid w:val="001029C4"/>
    <w:rsid w:val="0011486D"/>
    <w:rsid w:val="00121E33"/>
    <w:rsid w:val="00126550"/>
    <w:rsid w:val="001324D6"/>
    <w:rsid w:val="00135BD2"/>
    <w:rsid w:val="00154825"/>
    <w:rsid w:val="00155DAF"/>
    <w:rsid w:val="0017516B"/>
    <w:rsid w:val="00176F1D"/>
    <w:rsid w:val="001A2ABE"/>
    <w:rsid w:val="001A360C"/>
    <w:rsid w:val="001D14DA"/>
    <w:rsid w:val="001E6995"/>
    <w:rsid w:val="001F1513"/>
    <w:rsid w:val="00205232"/>
    <w:rsid w:val="00205769"/>
    <w:rsid w:val="00212FEC"/>
    <w:rsid w:val="002131BB"/>
    <w:rsid w:val="0022086D"/>
    <w:rsid w:val="00227E31"/>
    <w:rsid w:val="00230F81"/>
    <w:rsid w:val="00254C6F"/>
    <w:rsid w:val="0027266B"/>
    <w:rsid w:val="00281E80"/>
    <w:rsid w:val="002834B0"/>
    <w:rsid w:val="00283671"/>
    <w:rsid w:val="00284E27"/>
    <w:rsid w:val="002A1973"/>
    <w:rsid w:val="002C2392"/>
    <w:rsid w:val="002D1C5C"/>
    <w:rsid w:val="002D1E20"/>
    <w:rsid w:val="002E6860"/>
    <w:rsid w:val="002F0411"/>
    <w:rsid w:val="0031292B"/>
    <w:rsid w:val="00325E2A"/>
    <w:rsid w:val="0034786C"/>
    <w:rsid w:val="003517C9"/>
    <w:rsid w:val="00370000"/>
    <w:rsid w:val="00373507"/>
    <w:rsid w:val="0038230E"/>
    <w:rsid w:val="00382529"/>
    <w:rsid w:val="003B4CCF"/>
    <w:rsid w:val="003C6AB4"/>
    <w:rsid w:val="003E099F"/>
    <w:rsid w:val="0040086D"/>
    <w:rsid w:val="004017D8"/>
    <w:rsid w:val="00411E03"/>
    <w:rsid w:val="004123B1"/>
    <w:rsid w:val="00425922"/>
    <w:rsid w:val="004303A1"/>
    <w:rsid w:val="00440DC9"/>
    <w:rsid w:val="004506D2"/>
    <w:rsid w:val="00456F40"/>
    <w:rsid w:val="004609BD"/>
    <w:rsid w:val="004661EE"/>
    <w:rsid w:val="00466741"/>
    <w:rsid w:val="004A2BEA"/>
    <w:rsid w:val="004A3C64"/>
    <w:rsid w:val="004A5AEA"/>
    <w:rsid w:val="004B2FDA"/>
    <w:rsid w:val="004B480A"/>
    <w:rsid w:val="004E339B"/>
    <w:rsid w:val="004E4562"/>
    <w:rsid w:val="004F077F"/>
    <w:rsid w:val="005023DD"/>
    <w:rsid w:val="00503D8C"/>
    <w:rsid w:val="00522B84"/>
    <w:rsid w:val="00531A7F"/>
    <w:rsid w:val="005428C5"/>
    <w:rsid w:val="00543C55"/>
    <w:rsid w:val="005554C7"/>
    <w:rsid w:val="00582B99"/>
    <w:rsid w:val="00590903"/>
    <w:rsid w:val="005A519D"/>
    <w:rsid w:val="005B0FC9"/>
    <w:rsid w:val="005B66D3"/>
    <w:rsid w:val="005C4556"/>
    <w:rsid w:val="005C5302"/>
    <w:rsid w:val="005E0310"/>
    <w:rsid w:val="005E362E"/>
    <w:rsid w:val="005E4B48"/>
    <w:rsid w:val="0061109D"/>
    <w:rsid w:val="00612AA0"/>
    <w:rsid w:val="006138CB"/>
    <w:rsid w:val="006224C4"/>
    <w:rsid w:val="006225EA"/>
    <w:rsid w:val="006261DF"/>
    <w:rsid w:val="00642074"/>
    <w:rsid w:val="00656B29"/>
    <w:rsid w:val="00695E58"/>
    <w:rsid w:val="006A1329"/>
    <w:rsid w:val="006A66F9"/>
    <w:rsid w:val="00720DFF"/>
    <w:rsid w:val="00762CC5"/>
    <w:rsid w:val="0078195B"/>
    <w:rsid w:val="007906B4"/>
    <w:rsid w:val="007A7F58"/>
    <w:rsid w:val="007E759D"/>
    <w:rsid w:val="007F49FD"/>
    <w:rsid w:val="00812471"/>
    <w:rsid w:val="008261A5"/>
    <w:rsid w:val="0083382E"/>
    <w:rsid w:val="00855325"/>
    <w:rsid w:val="00862E34"/>
    <w:rsid w:val="00865915"/>
    <w:rsid w:val="00871832"/>
    <w:rsid w:val="00886CCE"/>
    <w:rsid w:val="00896B33"/>
    <w:rsid w:val="008A62FB"/>
    <w:rsid w:val="008A77B7"/>
    <w:rsid w:val="008B0F67"/>
    <w:rsid w:val="008B4418"/>
    <w:rsid w:val="008B5D84"/>
    <w:rsid w:val="008C608D"/>
    <w:rsid w:val="008E461D"/>
    <w:rsid w:val="008F08E5"/>
    <w:rsid w:val="008F0EA4"/>
    <w:rsid w:val="008F5213"/>
    <w:rsid w:val="0090748B"/>
    <w:rsid w:val="00920C9C"/>
    <w:rsid w:val="00922754"/>
    <w:rsid w:val="00925781"/>
    <w:rsid w:val="009258D0"/>
    <w:rsid w:val="00935AB3"/>
    <w:rsid w:val="009734CE"/>
    <w:rsid w:val="00977AD7"/>
    <w:rsid w:val="009864F4"/>
    <w:rsid w:val="00996E1A"/>
    <w:rsid w:val="009D24DA"/>
    <w:rsid w:val="009D5D75"/>
    <w:rsid w:val="009F32A2"/>
    <w:rsid w:val="009F54CE"/>
    <w:rsid w:val="00A06264"/>
    <w:rsid w:val="00A1639A"/>
    <w:rsid w:val="00A215C9"/>
    <w:rsid w:val="00A5364B"/>
    <w:rsid w:val="00A615E0"/>
    <w:rsid w:val="00A65E2B"/>
    <w:rsid w:val="00A74AA0"/>
    <w:rsid w:val="00A7546D"/>
    <w:rsid w:val="00A77100"/>
    <w:rsid w:val="00AA4D97"/>
    <w:rsid w:val="00AD17B7"/>
    <w:rsid w:val="00B077D5"/>
    <w:rsid w:val="00B200E4"/>
    <w:rsid w:val="00B35B6D"/>
    <w:rsid w:val="00B35DC6"/>
    <w:rsid w:val="00B51699"/>
    <w:rsid w:val="00B53FAF"/>
    <w:rsid w:val="00B63153"/>
    <w:rsid w:val="00B6527D"/>
    <w:rsid w:val="00B73B3A"/>
    <w:rsid w:val="00B74507"/>
    <w:rsid w:val="00B75718"/>
    <w:rsid w:val="00B75E7E"/>
    <w:rsid w:val="00B92005"/>
    <w:rsid w:val="00B93817"/>
    <w:rsid w:val="00BA0B96"/>
    <w:rsid w:val="00BB15DA"/>
    <w:rsid w:val="00BB340D"/>
    <w:rsid w:val="00BC2A3A"/>
    <w:rsid w:val="00BC64EC"/>
    <w:rsid w:val="00BD073D"/>
    <w:rsid w:val="00BF13B5"/>
    <w:rsid w:val="00BF3AFD"/>
    <w:rsid w:val="00C1606C"/>
    <w:rsid w:val="00C23180"/>
    <w:rsid w:val="00C41492"/>
    <w:rsid w:val="00C702B5"/>
    <w:rsid w:val="00C70389"/>
    <w:rsid w:val="00C904B6"/>
    <w:rsid w:val="00C96DF4"/>
    <w:rsid w:val="00CC1337"/>
    <w:rsid w:val="00CC48DF"/>
    <w:rsid w:val="00CD70E7"/>
    <w:rsid w:val="00CD7363"/>
    <w:rsid w:val="00CE0C1F"/>
    <w:rsid w:val="00CE455F"/>
    <w:rsid w:val="00CE687E"/>
    <w:rsid w:val="00CF0BF9"/>
    <w:rsid w:val="00CF5957"/>
    <w:rsid w:val="00D04BA2"/>
    <w:rsid w:val="00D077B0"/>
    <w:rsid w:val="00D22D42"/>
    <w:rsid w:val="00D36D8D"/>
    <w:rsid w:val="00D45711"/>
    <w:rsid w:val="00D500FC"/>
    <w:rsid w:val="00D51597"/>
    <w:rsid w:val="00D5326E"/>
    <w:rsid w:val="00D55867"/>
    <w:rsid w:val="00D634A3"/>
    <w:rsid w:val="00D72339"/>
    <w:rsid w:val="00D73E47"/>
    <w:rsid w:val="00D74ABB"/>
    <w:rsid w:val="00D83CB7"/>
    <w:rsid w:val="00D97FA8"/>
    <w:rsid w:val="00DC7B25"/>
    <w:rsid w:val="00DD6B73"/>
    <w:rsid w:val="00E004D8"/>
    <w:rsid w:val="00E112C9"/>
    <w:rsid w:val="00E158F7"/>
    <w:rsid w:val="00E2087E"/>
    <w:rsid w:val="00E36818"/>
    <w:rsid w:val="00E47B97"/>
    <w:rsid w:val="00E5203C"/>
    <w:rsid w:val="00E634CC"/>
    <w:rsid w:val="00E82F0E"/>
    <w:rsid w:val="00E96FAC"/>
    <w:rsid w:val="00EA129F"/>
    <w:rsid w:val="00ED0582"/>
    <w:rsid w:val="00EE31F6"/>
    <w:rsid w:val="00EE36DC"/>
    <w:rsid w:val="00F044EE"/>
    <w:rsid w:val="00F3320B"/>
    <w:rsid w:val="00F40E92"/>
    <w:rsid w:val="00F41947"/>
    <w:rsid w:val="00F435AA"/>
    <w:rsid w:val="00F76C6A"/>
    <w:rsid w:val="00F83BF1"/>
    <w:rsid w:val="00F90CB9"/>
    <w:rsid w:val="00F97373"/>
    <w:rsid w:val="00FA04C3"/>
    <w:rsid w:val="00FA6854"/>
    <w:rsid w:val="00FB064F"/>
    <w:rsid w:val="00FB144F"/>
    <w:rsid w:val="00FB159A"/>
    <w:rsid w:val="00FB4D77"/>
    <w:rsid w:val="00FC497D"/>
    <w:rsid w:val="00FD076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DB5039"/>
  <w15:docId w15:val="{92C60011-F66C-44E9-96FC-4ED8E578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styleId="Tabellenraster">
    <w:name w:val="Table Grid"/>
    <w:basedOn w:val="NormaleTabelle"/>
    <w:uiPriority w:val="59"/>
    <w:locked/>
    <w:rsid w:val="0031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31292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ossmann-berger.de/en/company/press-portfoli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ossmann-berger.de/en/priva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en"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23" Type="http://schemas.openxmlformats.org/officeDocument/2006/relationships/theme" Target="theme/theme1.xml"/><Relationship Id="rId10" Type="http://schemas.openxmlformats.org/officeDocument/2006/relationships/hyperlink" Target="https://www.grossmann-berger.de/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de/info/marktberichte-preistrends" TargetMode="External"/><Relationship Id="rId14" Type="http://schemas.openxmlformats.org/officeDocument/2006/relationships/hyperlink" Target="https://www.grossmann-berger.de/en/company/press-portfolio/terms-of-use-for-press-materia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9C0F-C289-47B4-B4DA-DE162D47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4462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Katharina Koester</cp:lastModifiedBy>
  <cp:revision>5</cp:revision>
  <cp:lastPrinted>2023-04-12T08:07:00Z</cp:lastPrinted>
  <dcterms:created xsi:type="dcterms:W3CDTF">2023-04-12T08:39:00Z</dcterms:created>
  <dcterms:modified xsi:type="dcterms:W3CDTF">2023-04-12T13:36:00Z</dcterms:modified>
</cp:coreProperties>
</file>