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FF363" w14:textId="657F132E" w:rsidR="001E1172" w:rsidRPr="0080256B" w:rsidRDefault="003A22D7" w:rsidP="001E1172">
      <w:pPr>
        <w:spacing w:after="0" w:line="360" w:lineRule="auto"/>
        <w:rPr>
          <w:rFonts w:ascii="Arial" w:hAnsi="Arial" w:cs="Arial"/>
          <w:b/>
        </w:rPr>
      </w:pPr>
      <w:r>
        <w:rPr>
          <w:rFonts w:ascii="Arial" w:hAnsi="Arial"/>
          <w:b/>
        </w:rPr>
        <w:t>Hamburg: Industrial and logistics properties market, 1st-3rd quarters, 2022</w:t>
      </w:r>
      <w:r>
        <w:rPr>
          <w:rFonts w:ascii="Arial" w:hAnsi="Arial"/>
          <w:b/>
        </w:rPr>
        <w:br/>
      </w:r>
      <w:r w:rsidRPr="00627131">
        <w:rPr>
          <w:rFonts w:ascii="Arial" w:hAnsi="Arial"/>
          <w:b/>
          <w:sz w:val="28"/>
        </w:rPr>
        <w:t>Shortage of space obliges tenants to rent new builds and drives up rates</w:t>
      </w:r>
    </w:p>
    <w:p w14:paraId="5188EF63" w14:textId="77777777" w:rsidR="00590903" w:rsidRPr="0090748B" w:rsidRDefault="00590903" w:rsidP="00590903">
      <w:pPr>
        <w:spacing w:after="0" w:line="360" w:lineRule="auto"/>
        <w:jc w:val="both"/>
        <w:rPr>
          <w:rFonts w:ascii="Arial" w:hAnsi="Arial" w:cs="Arial"/>
          <w:b/>
          <w:sz w:val="20"/>
          <w:szCs w:val="20"/>
        </w:rPr>
      </w:pPr>
    </w:p>
    <w:p w14:paraId="0D547B51" w14:textId="6AB8481C" w:rsidR="009A3457" w:rsidRPr="00F2157F" w:rsidRDefault="000F726E" w:rsidP="003F03F9">
      <w:pPr>
        <w:spacing w:after="0" w:line="360" w:lineRule="auto"/>
        <w:rPr>
          <w:rFonts w:ascii="Arial" w:hAnsi="Arial" w:cs="Arial"/>
          <w:sz w:val="20"/>
          <w:szCs w:val="20"/>
        </w:rPr>
      </w:pPr>
      <w:r>
        <w:rPr>
          <w:rFonts w:ascii="Arial" w:hAnsi="Arial"/>
          <w:b/>
          <w:sz w:val="20"/>
          <w:szCs w:val="20"/>
        </w:rPr>
        <w:t>Hamburg, 20 October 2022</w:t>
      </w:r>
      <w:r w:rsidR="00B8591A">
        <w:rPr>
          <w:rFonts w:ascii="Arial" w:hAnsi="Arial"/>
          <w:sz w:val="20"/>
          <w:szCs w:val="20"/>
        </w:rPr>
        <w:t xml:space="preserve"> – Large </w:t>
      </w:r>
      <w:r>
        <w:rPr>
          <w:rFonts w:ascii="Arial" w:hAnsi="Arial"/>
          <w:sz w:val="20"/>
          <w:szCs w:val="20"/>
        </w:rPr>
        <w:t xml:space="preserve">volumes at top-of-the-range rents – that neatly describes the agreements signed for industrial and logistics properties in Hamburg and its environs up until the end of September 2022. Agreements for large amounts of space comprised 70 % of take-up and in 43 % of agreements rents were high, at more than €5.51/m²/month. </w:t>
      </w:r>
      <w:r>
        <w:rPr>
          <w:rFonts w:ascii="Arial" w:hAnsi="Arial"/>
          <w:i/>
          <w:sz w:val="20"/>
          <w:szCs w:val="20"/>
        </w:rPr>
        <w:t>“To date, nine of the fourteen agreements for large amounts of space related to facilities in new-builds or good-as-new premises where rents were correspondingly high,”</w:t>
      </w:r>
      <w:r>
        <w:rPr>
          <w:rFonts w:ascii="Arial" w:hAnsi="Arial"/>
          <w:sz w:val="20"/>
          <w:szCs w:val="20"/>
        </w:rPr>
        <w:t xml:space="preserve"> remarks </w:t>
      </w:r>
      <w:r>
        <w:rPr>
          <w:rFonts w:ascii="Arial" w:hAnsi="Arial"/>
          <w:b/>
          <w:sz w:val="20"/>
          <w:szCs w:val="20"/>
        </w:rPr>
        <w:t>Nico Beckmann</w:t>
      </w:r>
      <w:r>
        <w:rPr>
          <w:rFonts w:ascii="Arial" w:hAnsi="Arial"/>
          <w:sz w:val="20"/>
          <w:szCs w:val="20"/>
        </w:rPr>
        <w:t>, consultant for industrial &amp; logistics properties at Grossmann &amp; Berger, member of German Property Partners (GPP).</w:t>
      </w:r>
      <w:r>
        <w:rPr>
          <w:rFonts w:ascii="Arial" w:hAnsi="Arial"/>
          <w:i/>
          <w:sz w:val="20"/>
          <w:szCs w:val="20"/>
        </w:rPr>
        <w:t xml:space="preserve"> “It is an absolute rarity to find empty space in an existing building. Therefore companies have to turn to developers and must be prepared for much longer planning periods than in the past. Strictly speaking, they have no choice but to focus on the few new buildings under construction, most of them in the environs of Hamburg.”</w:t>
      </w:r>
      <w:r>
        <w:rPr>
          <w:rFonts w:ascii="Arial" w:hAnsi="Arial"/>
          <w:sz w:val="20"/>
          <w:szCs w:val="20"/>
        </w:rPr>
        <w:t xml:space="preserve"> Thanks to large-volume agreements, total take-up reached 400,000 m², and was thus higher than both the five-year and the ten-year average. But the shortage of space produced a result that was about a fifth lower than the record-breaking figure returned a year before. In view of the dearth of space and the fact that, apart from a couple of exceptions, all the space in new </w:t>
      </w:r>
      <w:r w:rsidR="00A446B1">
        <w:rPr>
          <w:rFonts w:ascii="Arial" w:hAnsi="Arial"/>
          <w:sz w:val="20"/>
          <w:szCs w:val="20"/>
        </w:rPr>
        <w:t>developments has been let, Gros</w:t>
      </w:r>
      <w:r>
        <w:rPr>
          <w:rFonts w:ascii="Arial" w:hAnsi="Arial"/>
          <w:sz w:val="20"/>
          <w:szCs w:val="20"/>
        </w:rPr>
        <w:t xml:space="preserve">smann &amp; Berger expects the year to close with turnover approaching 500,000 m² at the most. </w:t>
      </w:r>
    </w:p>
    <w:p w14:paraId="7D0B7770" w14:textId="77777777" w:rsidR="000A5ED1" w:rsidRDefault="000A5ED1" w:rsidP="001E1172">
      <w:pPr>
        <w:spacing w:after="0" w:line="360" w:lineRule="auto"/>
        <w:rPr>
          <w:rFonts w:ascii="Arial" w:hAnsi="Arial" w:cs="Arial"/>
          <w:sz w:val="20"/>
          <w:szCs w:val="20"/>
        </w:rPr>
      </w:pPr>
    </w:p>
    <w:p w14:paraId="3BF1F98D" w14:textId="77777777" w:rsidR="000A5ED1" w:rsidRPr="00FE43D5" w:rsidRDefault="00FE43D5" w:rsidP="006C1DD8">
      <w:pPr>
        <w:spacing w:after="0" w:line="360" w:lineRule="auto"/>
        <w:textAlignment w:val="baseline"/>
        <w:rPr>
          <w:rFonts w:ascii="Arial" w:hAnsi="Arial" w:cs="Arial"/>
          <w:b/>
          <w:sz w:val="20"/>
          <w:szCs w:val="20"/>
        </w:rPr>
      </w:pPr>
      <w:r>
        <w:rPr>
          <w:rFonts w:ascii="Arial" w:hAnsi="Arial"/>
          <w:b/>
          <w:sz w:val="20"/>
          <w:szCs w:val="20"/>
        </w:rPr>
        <w:t xml:space="preserve">Market details: </w:t>
      </w:r>
    </w:p>
    <w:p w14:paraId="7850234B" w14:textId="7BF3CA5E" w:rsidR="004A4AA9" w:rsidRDefault="004A4AA9" w:rsidP="005D1236">
      <w:pPr>
        <w:pStyle w:val="Listenabsatz"/>
        <w:numPr>
          <w:ilvl w:val="0"/>
          <w:numId w:val="18"/>
        </w:numPr>
        <w:spacing w:before="60" w:after="60" w:line="360" w:lineRule="auto"/>
        <w:textAlignment w:val="baseline"/>
        <w:rPr>
          <w:rFonts w:ascii="Arial" w:eastAsiaTheme="minorHAnsi" w:hAnsi="Arial" w:cs="Arial"/>
          <w:sz w:val="20"/>
          <w:szCs w:val="20"/>
        </w:rPr>
      </w:pPr>
      <w:r>
        <w:rPr>
          <w:rFonts w:ascii="Arial" w:hAnsi="Arial"/>
          <w:sz w:val="20"/>
          <w:szCs w:val="20"/>
          <w:u w:val="single"/>
        </w:rPr>
        <w:t>Owner-occupiers</w:t>
      </w:r>
      <w:r>
        <w:rPr>
          <w:rFonts w:ascii="Arial" w:hAnsi="Arial"/>
          <w:sz w:val="20"/>
          <w:szCs w:val="20"/>
        </w:rPr>
        <w:t xml:space="preserve"> accounted for 26 % of the market (3Q 2021: 15 %). Their share of take-up climbed by 39 % to 104,000 m².</w:t>
      </w:r>
    </w:p>
    <w:p w14:paraId="47969C7F" w14:textId="20D6AA73" w:rsidR="002578C6" w:rsidRPr="002578C6" w:rsidRDefault="002578C6" w:rsidP="005D1236">
      <w:pPr>
        <w:pStyle w:val="Listenabsatz"/>
        <w:numPr>
          <w:ilvl w:val="0"/>
          <w:numId w:val="18"/>
        </w:numPr>
        <w:spacing w:before="60" w:after="60" w:line="360" w:lineRule="auto"/>
        <w:textAlignment w:val="baseline"/>
        <w:rPr>
          <w:rFonts w:ascii="Arial" w:eastAsiaTheme="minorHAnsi" w:hAnsi="Arial" w:cs="Arial"/>
          <w:sz w:val="20"/>
          <w:szCs w:val="20"/>
        </w:rPr>
      </w:pPr>
      <w:r>
        <w:rPr>
          <w:rFonts w:ascii="Arial" w:hAnsi="Arial"/>
          <w:sz w:val="20"/>
          <w:szCs w:val="20"/>
        </w:rPr>
        <w:t xml:space="preserve">In what was the </w:t>
      </w:r>
      <w:r>
        <w:rPr>
          <w:rFonts w:ascii="Arial" w:hAnsi="Arial"/>
          <w:sz w:val="20"/>
          <w:szCs w:val="20"/>
          <w:u w:val="single"/>
        </w:rPr>
        <w:t>biggest new agreement</w:t>
      </w:r>
      <w:r>
        <w:rPr>
          <w:rFonts w:ascii="Arial" w:hAnsi="Arial"/>
          <w:sz w:val="20"/>
          <w:szCs w:val="20"/>
        </w:rPr>
        <w:t xml:space="preserve"> between July and September, Picnic, a Dutch online supermarket company, took 25,300 m² of hall space and 800 m² of offices as part of its bid to expand in Germany.  On behalf of the company a joint venture made up of </w:t>
      </w:r>
      <w:proofErr w:type="spellStart"/>
      <w:r>
        <w:rPr>
          <w:rFonts w:ascii="Arial" w:hAnsi="Arial"/>
          <w:sz w:val="20"/>
          <w:szCs w:val="20"/>
        </w:rPr>
        <w:t>Garbe</w:t>
      </w:r>
      <w:proofErr w:type="spellEnd"/>
      <w:r>
        <w:rPr>
          <w:rFonts w:ascii="Arial" w:hAnsi="Arial"/>
          <w:sz w:val="20"/>
          <w:szCs w:val="20"/>
        </w:rPr>
        <w:t xml:space="preserve"> Industrial Real Estate and </w:t>
      </w:r>
      <w:proofErr w:type="spellStart"/>
      <w:r>
        <w:rPr>
          <w:rFonts w:ascii="Arial" w:hAnsi="Arial"/>
          <w:sz w:val="20"/>
          <w:szCs w:val="20"/>
        </w:rPr>
        <w:t>Graubner</w:t>
      </w:r>
      <w:proofErr w:type="spellEnd"/>
      <w:r>
        <w:rPr>
          <w:rFonts w:ascii="Arial" w:hAnsi="Arial"/>
          <w:sz w:val="20"/>
          <w:szCs w:val="20"/>
        </w:rPr>
        <w:t xml:space="preserve"> Holding is developing a new logistics centre for them in </w:t>
      </w:r>
      <w:proofErr w:type="spellStart"/>
      <w:r>
        <w:rPr>
          <w:rFonts w:ascii="Arial" w:hAnsi="Arial"/>
          <w:sz w:val="20"/>
          <w:szCs w:val="20"/>
        </w:rPr>
        <w:t>Kaltenkirchen</w:t>
      </w:r>
      <w:proofErr w:type="spellEnd"/>
      <w:r>
        <w:rPr>
          <w:rFonts w:ascii="Arial" w:hAnsi="Arial"/>
          <w:sz w:val="20"/>
          <w:szCs w:val="20"/>
        </w:rPr>
        <w:t xml:space="preserve">. In the prior quarter, Picnic had already rented 14,800 m² of space in “Mach 2 / Four </w:t>
      </w:r>
      <w:proofErr w:type="spellStart"/>
      <w:r>
        <w:rPr>
          <w:rFonts w:ascii="Arial" w:hAnsi="Arial"/>
          <w:sz w:val="20"/>
          <w:szCs w:val="20"/>
        </w:rPr>
        <w:t>Parx</w:t>
      </w:r>
      <w:proofErr w:type="spellEnd"/>
      <w:r>
        <w:rPr>
          <w:rFonts w:ascii="Arial" w:hAnsi="Arial"/>
          <w:sz w:val="20"/>
          <w:szCs w:val="20"/>
        </w:rPr>
        <w:t xml:space="preserve"> Hamburg”.</w:t>
      </w:r>
    </w:p>
    <w:p w14:paraId="166E57DF" w14:textId="37DF2F96" w:rsidR="00537DEF" w:rsidRPr="00537DEF" w:rsidRDefault="0059148B" w:rsidP="005D1236">
      <w:pPr>
        <w:pStyle w:val="Listenabsatz"/>
        <w:numPr>
          <w:ilvl w:val="0"/>
          <w:numId w:val="18"/>
        </w:numPr>
        <w:spacing w:before="60" w:after="60" w:line="360" w:lineRule="auto"/>
        <w:textAlignment w:val="baseline"/>
        <w:rPr>
          <w:rFonts w:ascii="Arial" w:eastAsiaTheme="minorHAnsi" w:hAnsi="Arial" w:cs="Arial"/>
          <w:sz w:val="20"/>
          <w:szCs w:val="20"/>
        </w:rPr>
      </w:pPr>
      <w:r>
        <w:rPr>
          <w:rFonts w:ascii="Arial" w:hAnsi="Arial"/>
          <w:sz w:val="20"/>
          <w:szCs w:val="20"/>
        </w:rPr>
        <w:t xml:space="preserve">The large number of contracts for big, good-as-new premises propelled both </w:t>
      </w:r>
      <w:r>
        <w:rPr>
          <w:rFonts w:ascii="Arial" w:hAnsi="Arial"/>
          <w:sz w:val="20"/>
          <w:szCs w:val="20"/>
          <w:u w:val="single"/>
        </w:rPr>
        <w:t>average</w:t>
      </w:r>
      <w:r>
        <w:rPr>
          <w:rFonts w:ascii="Arial" w:hAnsi="Arial"/>
          <w:sz w:val="20"/>
          <w:szCs w:val="20"/>
        </w:rPr>
        <w:t xml:space="preserve"> and </w:t>
      </w:r>
      <w:r>
        <w:rPr>
          <w:rFonts w:ascii="Arial" w:hAnsi="Arial"/>
          <w:sz w:val="20"/>
          <w:szCs w:val="20"/>
          <w:u w:val="single"/>
        </w:rPr>
        <w:t>premium rents</w:t>
      </w:r>
      <w:r>
        <w:rPr>
          <w:rFonts w:ascii="Arial" w:hAnsi="Arial"/>
          <w:sz w:val="20"/>
          <w:szCs w:val="20"/>
        </w:rPr>
        <w:t xml:space="preserve"> 11 % above the levels noted at the end of September 2021.</w:t>
      </w:r>
    </w:p>
    <w:p w14:paraId="4B8D6D7C" w14:textId="77777777" w:rsidR="00707260" w:rsidRDefault="00720DED" w:rsidP="001125E9">
      <w:pPr>
        <w:pStyle w:val="Listenabsatz"/>
        <w:numPr>
          <w:ilvl w:val="0"/>
          <w:numId w:val="18"/>
        </w:numPr>
        <w:spacing w:before="60" w:after="60" w:line="360" w:lineRule="auto"/>
        <w:textAlignment w:val="baseline"/>
        <w:rPr>
          <w:rFonts w:ascii="Arial" w:eastAsiaTheme="minorHAnsi" w:hAnsi="Arial" w:cs="Arial"/>
          <w:sz w:val="20"/>
          <w:szCs w:val="20"/>
        </w:rPr>
      </w:pPr>
      <w:r>
        <w:rPr>
          <w:rFonts w:ascii="Arial" w:hAnsi="Arial"/>
          <w:sz w:val="20"/>
          <w:szCs w:val="20"/>
        </w:rPr>
        <w:t xml:space="preserve">The wholesale/retail trade was the dominant </w:t>
      </w:r>
      <w:r>
        <w:rPr>
          <w:rFonts w:ascii="Arial" w:hAnsi="Arial"/>
          <w:sz w:val="20"/>
          <w:szCs w:val="20"/>
          <w:u w:val="single"/>
        </w:rPr>
        <w:t>sector</w:t>
      </w:r>
      <w:r>
        <w:rPr>
          <w:rFonts w:ascii="Arial" w:hAnsi="Arial"/>
          <w:sz w:val="20"/>
          <w:szCs w:val="20"/>
        </w:rPr>
        <w:t xml:space="preserve"> at 56 %.</w:t>
      </w:r>
    </w:p>
    <w:p w14:paraId="0E712D43" w14:textId="4CF74F26" w:rsidR="00B8591A" w:rsidRPr="00B8591A" w:rsidRDefault="00707260" w:rsidP="00B8591A">
      <w:pPr>
        <w:pStyle w:val="Listenabsatz"/>
        <w:numPr>
          <w:ilvl w:val="0"/>
          <w:numId w:val="18"/>
        </w:numPr>
        <w:spacing w:before="60" w:after="60" w:line="360" w:lineRule="auto"/>
        <w:textAlignment w:val="baseline"/>
        <w:rPr>
          <w:rFonts w:ascii="Arial" w:eastAsiaTheme="minorHAnsi" w:hAnsi="Arial" w:cs="Arial"/>
          <w:sz w:val="20"/>
          <w:szCs w:val="20"/>
        </w:rPr>
      </w:pPr>
      <w:r>
        <w:rPr>
          <w:rFonts w:ascii="Arial" w:hAnsi="Arial"/>
          <w:sz w:val="20"/>
          <w:szCs w:val="20"/>
        </w:rPr>
        <w:t xml:space="preserve">Brisk market activity was noted in the </w:t>
      </w:r>
      <w:r>
        <w:rPr>
          <w:rFonts w:ascii="Arial" w:hAnsi="Arial"/>
          <w:sz w:val="20"/>
          <w:szCs w:val="20"/>
          <w:u w:val="single"/>
        </w:rPr>
        <w:t>sub-markets</w:t>
      </w:r>
      <w:r>
        <w:rPr>
          <w:rFonts w:ascii="Arial" w:hAnsi="Arial"/>
          <w:sz w:val="20"/>
          <w:szCs w:val="20"/>
        </w:rPr>
        <w:t xml:space="preserve"> Hamburg South (25 %) and Hamburg East (18 %). Whereas up to the end of September 2021 take-up was concentrated in the city area (63 %), a year later it was far more evenly divided between the city (47 %) and the environs (53 %).</w:t>
      </w:r>
      <w:r>
        <w:rPr>
          <w:rFonts w:ascii="Arial" w:hAnsi="Arial"/>
          <w:sz w:val="20"/>
          <w:szCs w:val="20"/>
        </w:rPr>
        <w:br/>
      </w:r>
      <w:r>
        <w:rPr>
          <w:rFonts w:ascii="Arial" w:hAnsi="Arial"/>
          <w:sz w:val="20"/>
          <w:szCs w:val="20"/>
        </w:rPr>
        <w:br/>
      </w:r>
      <w:r>
        <w:rPr>
          <w:rFonts w:ascii="Arial" w:hAnsi="Arial"/>
          <w:sz w:val="20"/>
          <w:szCs w:val="20"/>
        </w:rPr>
        <w:br/>
      </w:r>
      <w:r w:rsidR="00B8591A">
        <w:rPr>
          <w:rFonts w:ascii="Arial" w:hAnsi="Arial"/>
          <w:sz w:val="20"/>
          <w:szCs w:val="20"/>
        </w:rPr>
        <w:br/>
      </w:r>
      <w:r w:rsidR="00B8591A">
        <w:rPr>
          <w:rFonts w:ascii="Arial" w:hAnsi="Arial"/>
          <w:sz w:val="20"/>
          <w:szCs w:val="20"/>
        </w:rPr>
        <w:lastRenderedPageBreak/>
        <w:br/>
      </w:r>
      <w:r w:rsidR="00B8591A">
        <w:rPr>
          <w:rFonts w:ascii="Arial" w:hAnsi="Arial"/>
          <w:sz w:val="20"/>
          <w:szCs w:val="20"/>
        </w:rPr>
        <w:br/>
      </w:r>
      <w:r w:rsidR="00995D21">
        <w:rPr>
          <w:rFonts w:ascii="Arial" w:hAnsi="Arial"/>
          <w:b/>
          <w:noProof/>
          <w:sz w:val="20"/>
          <w:szCs w:val="20"/>
          <w:lang w:val="de-DE" w:eastAsia="de-DE"/>
        </w:rPr>
        <w:drawing>
          <wp:anchor distT="0" distB="0" distL="114300" distR="114300" simplePos="0" relativeHeight="251658240" behindDoc="0" locked="0" layoutInCell="1" allowOverlap="1" wp14:anchorId="0AB2CFEE" wp14:editId="0C2EF3BB">
            <wp:simplePos x="0" y="0"/>
            <wp:positionH relativeFrom="margin">
              <wp:posOffset>3570605</wp:posOffset>
            </wp:positionH>
            <wp:positionV relativeFrom="paragraph">
              <wp:posOffset>772795</wp:posOffset>
            </wp:positionV>
            <wp:extent cx="2517775" cy="1874520"/>
            <wp:effectExtent l="19050" t="19050" r="15875" b="1143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M Industrie Neu.jpg"/>
                    <pic:cNvPicPr/>
                  </pic:nvPicPr>
                  <pic:blipFill>
                    <a:blip r:embed="rId8">
                      <a:extLst>
                        <a:ext uri="{28A0092B-C50C-407E-A947-70E740481C1C}">
                          <a14:useLocalDpi xmlns:a14="http://schemas.microsoft.com/office/drawing/2010/main" val="0"/>
                        </a:ext>
                      </a:extLst>
                    </a:blip>
                    <a:stretch>
                      <a:fillRect/>
                    </a:stretch>
                  </pic:blipFill>
                  <pic:spPr>
                    <a:xfrm>
                      <a:off x="0" y="0"/>
                      <a:ext cx="2517775" cy="1874520"/>
                    </a:xfrm>
                    <a:prstGeom prst="rect">
                      <a:avLst/>
                    </a:prstGeom>
                    <a:ln w="3175">
                      <a:solidFill>
                        <a:schemeClr val="tx2"/>
                      </a:solidFill>
                    </a:ln>
                  </pic:spPr>
                </pic:pic>
              </a:graphicData>
            </a:graphic>
            <wp14:sizeRelH relativeFrom="margin">
              <wp14:pctWidth>0</wp14:pctWidth>
            </wp14:sizeRelH>
            <wp14:sizeRelV relativeFrom="margin">
              <wp14:pctHeight>0</wp14:pctHeight>
            </wp14:sizeRelV>
          </wp:anchor>
        </w:drawing>
      </w:r>
    </w:p>
    <w:tbl>
      <w:tblPr>
        <w:tblStyle w:val="TableGrid2"/>
        <w:tblpPr w:leftFromText="141" w:rightFromText="141" w:vertAnchor="text" w:horzAnchor="margin" w:tblpY="106"/>
        <w:tblW w:w="5382" w:type="dxa"/>
        <w:tblLook w:val="04A0" w:firstRow="1" w:lastRow="0" w:firstColumn="1" w:lastColumn="0" w:noHBand="0" w:noVBand="1"/>
      </w:tblPr>
      <w:tblGrid>
        <w:gridCol w:w="3539"/>
        <w:gridCol w:w="1843"/>
      </w:tblGrid>
      <w:tr w:rsidR="009A3457" w:rsidRPr="006F49D0" w14:paraId="0BAC8A2E" w14:textId="77777777" w:rsidTr="00BE2424">
        <w:trPr>
          <w:trHeight w:val="255"/>
        </w:trPr>
        <w:tc>
          <w:tcPr>
            <w:tcW w:w="3539" w:type="dxa"/>
            <w:shd w:val="clear" w:color="auto" w:fill="1F242B" w:themeFill="accent2"/>
            <w:vAlign w:val="center"/>
          </w:tcPr>
          <w:p w14:paraId="71EBB413" w14:textId="487B28FD" w:rsidR="009A3457" w:rsidRPr="00587FDA" w:rsidRDefault="00587FDA" w:rsidP="006E64C0">
            <w:pPr>
              <w:widowControl w:val="0"/>
              <w:spacing w:before="60" w:after="60"/>
              <w:rPr>
                <w:rFonts w:ascii="Arial" w:hAnsi="Arial" w:cs="Arial"/>
                <w:b/>
                <w:sz w:val="18"/>
                <w:szCs w:val="20"/>
              </w:rPr>
            </w:pPr>
            <w:r>
              <w:rPr>
                <w:rFonts w:ascii="Arial" w:hAnsi="Arial"/>
                <w:b/>
                <w:sz w:val="18"/>
                <w:szCs w:val="20"/>
              </w:rPr>
              <w:t>Industrial</w:t>
            </w:r>
            <w:r w:rsidR="006E64C0">
              <w:rPr>
                <w:rFonts w:ascii="Arial" w:hAnsi="Arial"/>
                <w:b/>
                <w:sz w:val="18"/>
                <w:szCs w:val="20"/>
              </w:rPr>
              <w:t xml:space="preserve"> &amp;</w:t>
            </w:r>
            <w:r>
              <w:rPr>
                <w:rFonts w:ascii="Arial" w:hAnsi="Arial"/>
                <w:b/>
                <w:sz w:val="18"/>
                <w:szCs w:val="20"/>
              </w:rPr>
              <w:t xml:space="preserve"> logistics |</w:t>
            </w:r>
            <w:r w:rsidR="006E64C0">
              <w:rPr>
                <w:rFonts w:ascii="Arial" w:hAnsi="Arial"/>
                <w:b/>
                <w:sz w:val="18"/>
                <w:szCs w:val="20"/>
              </w:rPr>
              <w:br/>
            </w:r>
            <w:r>
              <w:rPr>
                <w:rFonts w:ascii="Arial" w:hAnsi="Arial"/>
                <w:b/>
                <w:sz w:val="18"/>
                <w:szCs w:val="20"/>
              </w:rPr>
              <w:t xml:space="preserve">Hamburg </w:t>
            </w:r>
            <w:r w:rsidR="006E64C0">
              <w:rPr>
                <w:rFonts w:ascii="Arial" w:hAnsi="Arial"/>
                <w:b/>
                <w:sz w:val="18"/>
                <w:szCs w:val="20"/>
              </w:rPr>
              <w:t>&amp;</w:t>
            </w:r>
            <w:r>
              <w:rPr>
                <w:rFonts w:ascii="Arial" w:hAnsi="Arial"/>
                <w:b/>
                <w:sz w:val="18"/>
                <w:szCs w:val="20"/>
              </w:rPr>
              <w:t xml:space="preserve"> </w:t>
            </w:r>
            <w:r w:rsidR="006E64C0">
              <w:rPr>
                <w:rFonts w:ascii="Arial" w:hAnsi="Arial"/>
                <w:b/>
                <w:sz w:val="18"/>
                <w:szCs w:val="20"/>
              </w:rPr>
              <w:t>e</w:t>
            </w:r>
            <w:r>
              <w:rPr>
                <w:rFonts w:ascii="Arial" w:hAnsi="Arial"/>
                <w:b/>
                <w:sz w:val="18"/>
                <w:szCs w:val="20"/>
              </w:rPr>
              <w:t>nvirons</w:t>
            </w:r>
          </w:p>
        </w:tc>
        <w:tc>
          <w:tcPr>
            <w:tcW w:w="1843" w:type="dxa"/>
            <w:shd w:val="clear" w:color="auto" w:fill="1F242B" w:themeFill="accent2"/>
            <w:vAlign w:val="center"/>
          </w:tcPr>
          <w:p w14:paraId="7A683B01" w14:textId="37E044DB" w:rsidR="009A3457" w:rsidRPr="004712BA" w:rsidRDefault="00A76566" w:rsidP="009A3457">
            <w:pPr>
              <w:widowControl w:val="0"/>
              <w:spacing w:before="60" w:after="60"/>
              <w:jc w:val="center"/>
              <w:rPr>
                <w:rFonts w:ascii="Arial" w:hAnsi="Arial" w:cs="Arial"/>
                <w:b/>
                <w:sz w:val="18"/>
                <w:szCs w:val="16"/>
              </w:rPr>
            </w:pPr>
            <w:r>
              <w:rPr>
                <w:rFonts w:ascii="Arial" w:hAnsi="Arial"/>
                <w:b/>
                <w:sz w:val="18"/>
                <w:szCs w:val="16"/>
              </w:rPr>
              <w:t>2022</w:t>
            </w:r>
            <w:r w:rsidR="006E64C0">
              <w:rPr>
                <w:rFonts w:ascii="Arial" w:hAnsi="Arial"/>
                <w:b/>
                <w:sz w:val="18"/>
                <w:szCs w:val="16"/>
              </w:rPr>
              <w:t xml:space="preserve"> </w:t>
            </w:r>
            <w:r>
              <w:rPr>
                <w:rFonts w:ascii="Arial" w:hAnsi="Arial"/>
                <w:b/>
                <w:sz w:val="18"/>
                <w:szCs w:val="16"/>
              </w:rPr>
              <w:t>Q1-3</w:t>
            </w:r>
          </w:p>
        </w:tc>
      </w:tr>
      <w:tr w:rsidR="009A3457" w:rsidRPr="006F49D0" w14:paraId="70DF3AA6" w14:textId="77777777" w:rsidTr="00BE2424">
        <w:trPr>
          <w:trHeight w:val="255"/>
        </w:trPr>
        <w:tc>
          <w:tcPr>
            <w:tcW w:w="3539" w:type="dxa"/>
            <w:vAlign w:val="center"/>
          </w:tcPr>
          <w:p w14:paraId="753DC114" w14:textId="77777777" w:rsidR="009A3457" w:rsidRPr="004712BA" w:rsidRDefault="009A3457" w:rsidP="009A3457">
            <w:pPr>
              <w:widowControl w:val="0"/>
              <w:spacing w:before="60" w:after="60"/>
              <w:jc w:val="both"/>
              <w:rPr>
                <w:rFonts w:ascii="Arial" w:hAnsi="Arial" w:cs="Arial"/>
                <w:b/>
                <w:sz w:val="18"/>
                <w:szCs w:val="16"/>
              </w:rPr>
            </w:pPr>
            <w:r>
              <w:rPr>
                <w:rFonts w:ascii="Arial" w:hAnsi="Arial"/>
                <w:b/>
                <w:sz w:val="18"/>
                <w:szCs w:val="16"/>
              </w:rPr>
              <w:t xml:space="preserve">Space take-up </w:t>
            </w:r>
            <w:r>
              <w:rPr>
                <w:rFonts w:ascii="Arial" w:hAnsi="Arial"/>
                <w:sz w:val="18"/>
                <w:szCs w:val="16"/>
              </w:rPr>
              <w:t>[m²]</w:t>
            </w:r>
          </w:p>
        </w:tc>
        <w:tc>
          <w:tcPr>
            <w:tcW w:w="1843" w:type="dxa"/>
            <w:vAlign w:val="center"/>
          </w:tcPr>
          <w:p w14:paraId="5D250936" w14:textId="6400ADD7" w:rsidR="009A3457" w:rsidRPr="004712BA" w:rsidRDefault="00D46C16" w:rsidP="009A3457">
            <w:pPr>
              <w:widowControl w:val="0"/>
              <w:spacing w:before="60" w:after="60"/>
              <w:jc w:val="right"/>
              <w:rPr>
                <w:rFonts w:ascii="Arial" w:hAnsi="Arial" w:cs="Arial"/>
                <w:sz w:val="18"/>
                <w:szCs w:val="16"/>
              </w:rPr>
            </w:pPr>
            <w:r>
              <w:rPr>
                <w:rFonts w:ascii="Arial" w:hAnsi="Arial"/>
                <w:sz w:val="18"/>
                <w:szCs w:val="16"/>
              </w:rPr>
              <w:t>400,000</w:t>
            </w:r>
          </w:p>
        </w:tc>
      </w:tr>
      <w:tr w:rsidR="009A3457" w:rsidRPr="006F49D0" w14:paraId="043AFEFC" w14:textId="77777777" w:rsidTr="00BE2424">
        <w:trPr>
          <w:trHeight w:val="255"/>
        </w:trPr>
        <w:tc>
          <w:tcPr>
            <w:tcW w:w="3539" w:type="dxa"/>
            <w:vAlign w:val="center"/>
          </w:tcPr>
          <w:p w14:paraId="3ED9F0EF" w14:textId="77777777" w:rsidR="009A3457" w:rsidRPr="00A7575D" w:rsidRDefault="009A3457" w:rsidP="009A3457">
            <w:pPr>
              <w:widowControl w:val="0"/>
              <w:spacing w:before="60" w:after="6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843" w:type="dxa"/>
            <w:vAlign w:val="center"/>
          </w:tcPr>
          <w:p w14:paraId="49FCD9C4" w14:textId="38DFF7A4" w:rsidR="009A3457" w:rsidRPr="004712BA" w:rsidRDefault="008E38C1" w:rsidP="00126EB1">
            <w:pPr>
              <w:widowControl w:val="0"/>
              <w:spacing w:before="60" w:after="60"/>
              <w:jc w:val="right"/>
              <w:rPr>
                <w:rFonts w:ascii="Arial" w:hAnsi="Arial" w:cs="Arial"/>
                <w:sz w:val="18"/>
                <w:szCs w:val="16"/>
              </w:rPr>
            </w:pPr>
            <w:r>
              <w:rPr>
                <w:rFonts w:ascii="Arial" w:hAnsi="Arial"/>
                <w:sz w:val="18"/>
                <w:szCs w:val="16"/>
              </w:rPr>
              <w:t>-19</w:t>
            </w:r>
          </w:p>
        </w:tc>
      </w:tr>
      <w:tr w:rsidR="009A3457" w:rsidRPr="006F49D0" w14:paraId="0E732110" w14:textId="77777777" w:rsidTr="00BE2424">
        <w:trPr>
          <w:trHeight w:val="255"/>
        </w:trPr>
        <w:tc>
          <w:tcPr>
            <w:tcW w:w="3539" w:type="dxa"/>
            <w:vAlign w:val="center"/>
          </w:tcPr>
          <w:p w14:paraId="6654C7A9" w14:textId="77777777" w:rsidR="009A3457" w:rsidRPr="009A3457" w:rsidRDefault="009A3457" w:rsidP="009A3457">
            <w:pPr>
              <w:widowControl w:val="0"/>
              <w:spacing w:before="60" w:after="60"/>
              <w:jc w:val="both"/>
              <w:rPr>
                <w:rFonts w:ascii="Arial" w:hAnsi="Arial" w:cs="Arial"/>
                <w:b/>
                <w:sz w:val="18"/>
                <w:szCs w:val="16"/>
              </w:rPr>
            </w:pPr>
            <w:r>
              <w:rPr>
                <w:rFonts w:ascii="Arial" w:hAnsi="Arial"/>
                <w:b/>
                <w:sz w:val="18"/>
                <w:szCs w:val="16"/>
              </w:rPr>
              <w:t>Ratio of owner-occupiers</w:t>
            </w:r>
            <w:r>
              <w:rPr>
                <w:rFonts w:ascii="Arial" w:hAnsi="Arial"/>
                <w:sz w:val="18"/>
                <w:szCs w:val="16"/>
              </w:rPr>
              <w:t xml:space="preserve"> [%]</w:t>
            </w:r>
          </w:p>
        </w:tc>
        <w:tc>
          <w:tcPr>
            <w:tcW w:w="1843" w:type="dxa"/>
            <w:vAlign w:val="center"/>
          </w:tcPr>
          <w:p w14:paraId="5D7C8E7C" w14:textId="47876F6C" w:rsidR="009A3457" w:rsidRPr="004712BA" w:rsidRDefault="00D46C16" w:rsidP="009A3457">
            <w:pPr>
              <w:widowControl w:val="0"/>
              <w:spacing w:before="60" w:after="60"/>
              <w:jc w:val="right"/>
              <w:rPr>
                <w:rFonts w:ascii="Arial" w:hAnsi="Arial" w:cs="Arial"/>
                <w:sz w:val="18"/>
                <w:szCs w:val="16"/>
              </w:rPr>
            </w:pPr>
            <w:r>
              <w:rPr>
                <w:rFonts w:ascii="Arial" w:hAnsi="Arial"/>
                <w:sz w:val="18"/>
                <w:szCs w:val="16"/>
              </w:rPr>
              <w:t>26</w:t>
            </w:r>
          </w:p>
        </w:tc>
      </w:tr>
      <w:tr w:rsidR="009A3457" w:rsidRPr="006F49D0" w14:paraId="7D6C7858" w14:textId="77777777" w:rsidTr="00BE2424">
        <w:trPr>
          <w:trHeight w:val="255"/>
        </w:trPr>
        <w:tc>
          <w:tcPr>
            <w:tcW w:w="3539" w:type="dxa"/>
            <w:vAlign w:val="center"/>
          </w:tcPr>
          <w:p w14:paraId="71C81982" w14:textId="77777777" w:rsidR="009A3457" w:rsidRPr="00122A77" w:rsidRDefault="009A3457" w:rsidP="009A3457">
            <w:pPr>
              <w:widowControl w:val="0"/>
              <w:spacing w:before="60" w:after="60"/>
              <w:jc w:val="both"/>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843" w:type="dxa"/>
            <w:vAlign w:val="center"/>
          </w:tcPr>
          <w:p w14:paraId="248780FF" w14:textId="5AA0BBD4" w:rsidR="009A3457" w:rsidRPr="00122A77" w:rsidRDefault="008E38C1" w:rsidP="00A76566">
            <w:pPr>
              <w:widowControl w:val="0"/>
              <w:spacing w:before="60" w:after="60"/>
              <w:jc w:val="right"/>
              <w:rPr>
                <w:rFonts w:ascii="Arial" w:hAnsi="Arial" w:cs="Arial"/>
                <w:sz w:val="18"/>
                <w:szCs w:val="16"/>
              </w:rPr>
            </w:pPr>
            <w:r>
              <w:rPr>
                <w:rFonts w:ascii="Arial" w:hAnsi="Arial"/>
                <w:sz w:val="18"/>
                <w:szCs w:val="16"/>
              </w:rPr>
              <w:t>+11</w:t>
            </w:r>
          </w:p>
        </w:tc>
      </w:tr>
      <w:tr w:rsidR="009A3457" w:rsidRPr="006F49D0" w14:paraId="40BC7CB1" w14:textId="77777777" w:rsidTr="00BE2424">
        <w:trPr>
          <w:trHeight w:val="255"/>
        </w:trPr>
        <w:tc>
          <w:tcPr>
            <w:tcW w:w="3539" w:type="dxa"/>
            <w:vAlign w:val="center"/>
          </w:tcPr>
          <w:p w14:paraId="4551D3A3" w14:textId="77777777" w:rsidR="009A3457" w:rsidRPr="004712BA" w:rsidRDefault="009A3457" w:rsidP="009A3457">
            <w:pPr>
              <w:widowControl w:val="0"/>
              <w:spacing w:before="60" w:after="60"/>
              <w:jc w:val="both"/>
              <w:rPr>
                <w:rFonts w:ascii="Arial" w:hAnsi="Arial" w:cs="Arial"/>
                <w:b/>
                <w:sz w:val="18"/>
                <w:szCs w:val="16"/>
              </w:rPr>
            </w:pPr>
            <w:r>
              <w:rPr>
                <w:rFonts w:ascii="Arial" w:hAnsi="Arial"/>
                <w:b/>
                <w:sz w:val="18"/>
                <w:szCs w:val="16"/>
              </w:rPr>
              <w:t xml:space="preserve">Premium rent </w:t>
            </w:r>
            <w:r>
              <w:rPr>
                <w:rFonts w:ascii="Arial" w:hAnsi="Arial"/>
                <w:sz w:val="18"/>
                <w:szCs w:val="16"/>
              </w:rPr>
              <w:t>[€/m²/month net of services]</w:t>
            </w:r>
          </w:p>
        </w:tc>
        <w:tc>
          <w:tcPr>
            <w:tcW w:w="1843" w:type="dxa"/>
            <w:vAlign w:val="center"/>
          </w:tcPr>
          <w:p w14:paraId="6F30DDDE" w14:textId="094F71D2" w:rsidR="009A3457" w:rsidRPr="004712BA" w:rsidRDefault="00D46C16" w:rsidP="00627692">
            <w:pPr>
              <w:widowControl w:val="0"/>
              <w:spacing w:before="60" w:after="60"/>
              <w:jc w:val="right"/>
              <w:rPr>
                <w:rFonts w:ascii="Arial" w:hAnsi="Arial" w:cs="Arial"/>
                <w:sz w:val="18"/>
                <w:szCs w:val="16"/>
              </w:rPr>
            </w:pPr>
            <w:r>
              <w:rPr>
                <w:rFonts w:ascii="Arial" w:hAnsi="Arial"/>
                <w:sz w:val="18"/>
                <w:szCs w:val="16"/>
              </w:rPr>
              <w:t>7.20</w:t>
            </w:r>
          </w:p>
        </w:tc>
      </w:tr>
      <w:tr w:rsidR="009A3457" w14:paraId="74A56634" w14:textId="77777777" w:rsidTr="00BE2424">
        <w:trPr>
          <w:trHeight w:val="255"/>
        </w:trPr>
        <w:tc>
          <w:tcPr>
            <w:tcW w:w="3539" w:type="dxa"/>
            <w:vAlign w:val="center"/>
          </w:tcPr>
          <w:p w14:paraId="1A0873A3" w14:textId="77777777" w:rsidR="009A3457" w:rsidRPr="00A7575D" w:rsidRDefault="009A3457" w:rsidP="009A3457">
            <w:pPr>
              <w:widowControl w:val="0"/>
              <w:spacing w:before="60" w:after="6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843" w:type="dxa"/>
            <w:vAlign w:val="center"/>
          </w:tcPr>
          <w:p w14:paraId="5148E5D1" w14:textId="55C58FB9" w:rsidR="009A3457" w:rsidRPr="00A7575D" w:rsidRDefault="00E04869" w:rsidP="008E38C1">
            <w:pPr>
              <w:widowControl w:val="0"/>
              <w:spacing w:before="60" w:after="60"/>
              <w:jc w:val="right"/>
              <w:rPr>
                <w:rFonts w:ascii="Arial" w:hAnsi="Arial" w:cs="Arial"/>
                <w:sz w:val="18"/>
                <w:szCs w:val="16"/>
              </w:rPr>
            </w:pPr>
            <w:r>
              <w:rPr>
                <w:rFonts w:ascii="Arial" w:hAnsi="Arial"/>
                <w:sz w:val="18"/>
                <w:szCs w:val="16"/>
              </w:rPr>
              <w:t>+10.8</w:t>
            </w:r>
          </w:p>
        </w:tc>
      </w:tr>
      <w:tr w:rsidR="009A3457" w:rsidRPr="006F49D0" w14:paraId="12FCA4FB" w14:textId="77777777" w:rsidTr="00BE2424">
        <w:trPr>
          <w:trHeight w:val="255"/>
        </w:trPr>
        <w:tc>
          <w:tcPr>
            <w:tcW w:w="3539" w:type="dxa"/>
            <w:vAlign w:val="center"/>
          </w:tcPr>
          <w:p w14:paraId="084ECC95" w14:textId="77777777" w:rsidR="009A3457" w:rsidRPr="004712BA" w:rsidRDefault="009A3457" w:rsidP="009A3457">
            <w:pPr>
              <w:widowControl w:val="0"/>
              <w:spacing w:before="60" w:after="60"/>
              <w:jc w:val="both"/>
              <w:rPr>
                <w:rFonts w:ascii="Arial" w:hAnsi="Arial" w:cs="Arial"/>
                <w:b/>
                <w:sz w:val="18"/>
                <w:szCs w:val="16"/>
              </w:rPr>
            </w:pPr>
            <w:r>
              <w:rPr>
                <w:rFonts w:ascii="Arial" w:hAnsi="Arial"/>
                <w:b/>
                <w:sz w:val="18"/>
                <w:szCs w:val="16"/>
              </w:rPr>
              <w:t xml:space="preserve">Average rent </w:t>
            </w:r>
            <w:r>
              <w:rPr>
                <w:rFonts w:ascii="Arial" w:hAnsi="Arial"/>
                <w:sz w:val="18"/>
                <w:szCs w:val="16"/>
              </w:rPr>
              <w:t>[€/m²/month net of services]</w:t>
            </w:r>
          </w:p>
        </w:tc>
        <w:tc>
          <w:tcPr>
            <w:tcW w:w="1843" w:type="dxa"/>
            <w:vAlign w:val="center"/>
          </w:tcPr>
          <w:p w14:paraId="520B34FD" w14:textId="25D54D85" w:rsidR="009A3457" w:rsidRPr="004712BA" w:rsidRDefault="00D46C16" w:rsidP="00627692">
            <w:pPr>
              <w:widowControl w:val="0"/>
              <w:spacing w:before="60" w:after="60"/>
              <w:jc w:val="right"/>
              <w:rPr>
                <w:rFonts w:ascii="Arial" w:hAnsi="Arial" w:cs="Arial"/>
                <w:sz w:val="18"/>
                <w:szCs w:val="16"/>
              </w:rPr>
            </w:pPr>
            <w:r>
              <w:rPr>
                <w:rFonts w:ascii="Arial" w:hAnsi="Arial"/>
                <w:sz w:val="18"/>
                <w:szCs w:val="16"/>
              </w:rPr>
              <w:t>5.80</w:t>
            </w:r>
          </w:p>
        </w:tc>
      </w:tr>
      <w:tr w:rsidR="009A3457" w14:paraId="6162EAD9" w14:textId="77777777" w:rsidTr="00BE2424">
        <w:trPr>
          <w:trHeight w:val="255"/>
        </w:trPr>
        <w:tc>
          <w:tcPr>
            <w:tcW w:w="3539" w:type="dxa"/>
            <w:vAlign w:val="center"/>
          </w:tcPr>
          <w:p w14:paraId="0151E736" w14:textId="77777777" w:rsidR="009A3457" w:rsidRPr="00A7575D" w:rsidRDefault="009A3457" w:rsidP="009A3457">
            <w:pPr>
              <w:widowControl w:val="0"/>
              <w:spacing w:before="60" w:after="6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843" w:type="dxa"/>
            <w:vAlign w:val="center"/>
          </w:tcPr>
          <w:p w14:paraId="3E1FB4AB" w14:textId="15CD19CB" w:rsidR="009A3457" w:rsidRPr="00A7575D" w:rsidRDefault="003F03F9" w:rsidP="00D46C16">
            <w:pPr>
              <w:widowControl w:val="0"/>
              <w:spacing w:before="60" w:after="60"/>
              <w:jc w:val="right"/>
              <w:rPr>
                <w:rFonts w:ascii="Arial" w:hAnsi="Arial" w:cs="Arial"/>
                <w:sz w:val="18"/>
                <w:szCs w:val="16"/>
              </w:rPr>
            </w:pPr>
            <w:r>
              <w:rPr>
                <w:rFonts w:ascii="Arial" w:hAnsi="Arial"/>
                <w:sz w:val="18"/>
                <w:szCs w:val="16"/>
              </w:rPr>
              <w:t>+11.5</w:t>
            </w:r>
          </w:p>
        </w:tc>
      </w:tr>
      <w:tr w:rsidR="00395ED5" w:rsidRPr="006F49D0" w14:paraId="13A0ED8E" w14:textId="77777777" w:rsidTr="00BE2424">
        <w:trPr>
          <w:trHeight w:val="255"/>
        </w:trPr>
        <w:tc>
          <w:tcPr>
            <w:tcW w:w="3539" w:type="dxa"/>
            <w:vAlign w:val="center"/>
          </w:tcPr>
          <w:p w14:paraId="2AD86D43" w14:textId="77777777" w:rsidR="00395ED5" w:rsidRPr="00D32F4A" w:rsidRDefault="00395ED5" w:rsidP="00395ED5">
            <w:pPr>
              <w:widowControl w:val="0"/>
              <w:spacing w:after="0"/>
              <w:jc w:val="both"/>
              <w:rPr>
                <w:rFonts w:ascii="Arial" w:hAnsi="Arial" w:cs="Arial"/>
                <w:b/>
                <w:sz w:val="18"/>
                <w:szCs w:val="16"/>
              </w:rPr>
            </w:pPr>
            <w:r>
              <w:rPr>
                <w:rFonts w:ascii="Arial" w:hAnsi="Arial"/>
                <w:b/>
                <w:sz w:val="18"/>
                <w:szCs w:val="16"/>
              </w:rPr>
              <w:t>Most popular sub-market</w:t>
            </w:r>
          </w:p>
        </w:tc>
        <w:tc>
          <w:tcPr>
            <w:tcW w:w="1843" w:type="dxa"/>
            <w:vAlign w:val="center"/>
          </w:tcPr>
          <w:p w14:paraId="4BE4626E" w14:textId="7697E8A2" w:rsidR="00395ED5" w:rsidRPr="004712BA" w:rsidRDefault="00723B02" w:rsidP="00395ED5">
            <w:pPr>
              <w:widowControl w:val="0"/>
              <w:spacing w:before="60" w:after="60"/>
              <w:jc w:val="right"/>
              <w:rPr>
                <w:rFonts w:ascii="Arial" w:hAnsi="Arial" w:cs="Arial"/>
                <w:sz w:val="18"/>
                <w:szCs w:val="16"/>
              </w:rPr>
            </w:pPr>
            <w:r>
              <w:rPr>
                <w:rFonts w:ascii="Arial" w:hAnsi="Arial"/>
                <w:sz w:val="18"/>
                <w:szCs w:val="16"/>
              </w:rPr>
              <w:t>Hamburg South</w:t>
            </w:r>
          </w:p>
        </w:tc>
      </w:tr>
      <w:tr w:rsidR="00395ED5" w14:paraId="52AFAC85" w14:textId="77777777" w:rsidTr="00BE2424">
        <w:trPr>
          <w:trHeight w:val="255"/>
        </w:trPr>
        <w:tc>
          <w:tcPr>
            <w:tcW w:w="3539" w:type="dxa"/>
            <w:vAlign w:val="center"/>
          </w:tcPr>
          <w:p w14:paraId="1FC62107" w14:textId="77777777" w:rsidR="00395ED5" w:rsidRPr="00D32F4A" w:rsidRDefault="00395ED5" w:rsidP="00395ED5">
            <w:pPr>
              <w:widowControl w:val="0"/>
              <w:spacing w:after="0"/>
              <w:rPr>
                <w:rFonts w:ascii="Arial" w:hAnsi="Arial" w:cs="Arial"/>
                <w:sz w:val="18"/>
                <w:szCs w:val="16"/>
              </w:rPr>
            </w:pPr>
            <w:r>
              <w:rPr>
                <w:rFonts w:ascii="Arial" w:hAnsi="Arial"/>
                <w:sz w:val="18"/>
                <w:szCs w:val="16"/>
              </w:rPr>
              <w:t>Most popular sub-market [%]</w:t>
            </w:r>
          </w:p>
        </w:tc>
        <w:tc>
          <w:tcPr>
            <w:tcW w:w="1843" w:type="dxa"/>
            <w:vAlign w:val="center"/>
          </w:tcPr>
          <w:p w14:paraId="0EEDC51D" w14:textId="032955CB" w:rsidR="00395ED5" w:rsidRPr="004712BA" w:rsidRDefault="00D46C16" w:rsidP="00395ED5">
            <w:pPr>
              <w:widowControl w:val="0"/>
              <w:spacing w:before="60" w:after="60"/>
              <w:jc w:val="right"/>
              <w:rPr>
                <w:rFonts w:ascii="Arial" w:hAnsi="Arial" w:cs="Arial"/>
                <w:sz w:val="18"/>
                <w:szCs w:val="16"/>
              </w:rPr>
            </w:pPr>
            <w:r>
              <w:rPr>
                <w:rFonts w:ascii="Arial" w:hAnsi="Arial"/>
                <w:sz w:val="18"/>
                <w:szCs w:val="16"/>
              </w:rPr>
              <w:t>25</w:t>
            </w:r>
          </w:p>
        </w:tc>
      </w:tr>
      <w:tr w:rsidR="009A3457" w:rsidRPr="006F49D0" w14:paraId="5E737EA1" w14:textId="77777777" w:rsidTr="00BE2424">
        <w:trPr>
          <w:trHeight w:val="255"/>
        </w:trPr>
        <w:tc>
          <w:tcPr>
            <w:tcW w:w="3539" w:type="dxa"/>
            <w:tcBorders>
              <w:bottom w:val="single" w:sz="4" w:space="0" w:color="auto"/>
            </w:tcBorders>
            <w:vAlign w:val="center"/>
          </w:tcPr>
          <w:p w14:paraId="387A52FE" w14:textId="77777777" w:rsidR="009A3457" w:rsidRPr="004712BA" w:rsidRDefault="009A3457" w:rsidP="009A3457">
            <w:pPr>
              <w:widowControl w:val="0"/>
              <w:spacing w:before="60" w:after="60"/>
              <w:jc w:val="both"/>
              <w:rPr>
                <w:rFonts w:ascii="Arial" w:hAnsi="Arial" w:cs="Arial"/>
                <w:b/>
                <w:sz w:val="18"/>
                <w:szCs w:val="16"/>
              </w:rPr>
            </w:pPr>
            <w:r>
              <w:rPr>
                <w:rFonts w:ascii="Arial" w:hAnsi="Arial"/>
                <w:b/>
                <w:sz w:val="18"/>
                <w:szCs w:val="16"/>
              </w:rPr>
              <w:t>Industry with highest turnover</w:t>
            </w:r>
          </w:p>
        </w:tc>
        <w:tc>
          <w:tcPr>
            <w:tcW w:w="1843" w:type="dxa"/>
            <w:tcBorders>
              <w:bottom w:val="single" w:sz="4" w:space="0" w:color="auto"/>
            </w:tcBorders>
            <w:vAlign w:val="center"/>
          </w:tcPr>
          <w:p w14:paraId="47CEAA99" w14:textId="7CDC887F" w:rsidR="009A3457" w:rsidRPr="004712BA" w:rsidRDefault="008E38C1" w:rsidP="009A3457">
            <w:pPr>
              <w:widowControl w:val="0"/>
              <w:spacing w:before="60" w:after="60"/>
              <w:jc w:val="right"/>
              <w:rPr>
                <w:rFonts w:ascii="Arial" w:hAnsi="Arial" w:cs="Arial"/>
                <w:sz w:val="18"/>
                <w:szCs w:val="16"/>
              </w:rPr>
            </w:pPr>
            <w:r>
              <w:rPr>
                <w:rFonts w:ascii="Arial" w:hAnsi="Arial"/>
                <w:sz w:val="18"/>
                <w:szCs w:val="16"/>
              </w:rPr>
              <w:t>Trade/retail</w:t>
            </w:r>
          </w:p>
        </w:tc>
      </w:tr>
      <w:tr w:rsidR="009A3457" w:rsidRPr="006F49D0" w14:paraId="6AE22D82" w14:textId="77777777" w:rsidTr="00BE2424">
        <w:trPr>
          <w:trHeight w:val="255"/>
        </w:trPr>
        <w:tc>
          <w:tcPr>
            <w:tcW w:w="3539" w:type="dxa"/>
            <w:tcBorders>
              <w:bottom w:val="single" w:sz="4" w:space="0" w:color="auto"/>
            </w:tcBorders>
            <w:vAlign w:val="center"/>
          </w:tcPr>
          <w:p w14:paraId="0FCDD888" w14:textId="77777777" w:rsidR="009A3457" w:rsidRPr="004712BA" w:rsidRDefault="009A3457" w:rsidP="009A3457">
            <w:pPr>
              <w:widowControl w:val="0"/>
              <w:spacing w:before="60" w:after="60"/>
              <w:jc w:val="both"/>
              <w:rPr>
                <w:rFonts w:ascii="Arial" w:hAnsi="Arial" w:cs="Arial"/>
                <w:b/>
                <w:sz w:val="18"/>
                <w:szCs w:val="16"/>
              </w:rPr>
            </w:pPr>
            <w:r>
              <w:rPr>
                <w:rFonts w:ascii="Arial" w:hAnsi="Arial"/>
                <w:sz w:val="18"/>
                <w:szCs w:val="16"/>
              </w:rPr>
              <w:t>Industry with highest turnover [%]</w:t>
            </w:r>
          </w:p>
        </w:tc>
        <w:tc>
          <w:tcPr>
            <w:tcW w:w="1843" w:type="dxa"/>
            <w:tcBorders>
              <w:bottom w:val="single" w:sz="4" w:space="0" w:color="auto"/>
            </w:tcBorders>
            <w:vAlign w:val="center"/>
          </w:tcPr>
          <w:p w14:paraId="66F89E6A" w14:textId="5A4D7B7A" w:rsidR="009A3457" w:rsidRPr="004712BA" w:rsidRDefault="00D46C16" w:rsidP="009A3457">
            <w:pPr>
              <w:widowControl w:val="0"/>
              <w:spacing w:before="60" w:after="60"/>
              <w:jc w:val="right"/>
              <w:rPr>
                <w:rFonts w:ascii="Arial" w:hAnsi="Arial" w:cs="Arial"/>
                <w:sz w:val="18"/>
                <w:szCs w:val="16"/>
              </w:rPr>
            </w:pPr>
            <w:r>
              <w:rPr>
                <w:rFonts w:ascii="Arial" w:hAnsi="Arial"/>
                <w:sz w:val="18"/>
                <w:szCs w:val="16"/>
              </w:rPr>
              <w:t>56</w:t>
            </w:r>
          </w:p>
        </w:tc>
      </w:tr>
    </w:tbl>
    <w:p w14:paraId="411FDB89" w14:textId="4EEF4A04" w:rsidR="00514293" w:rsidRDefault="00305878" w:rsidP="000C43E8">
      <w:pPr>
        <w:tabs>
          <w:tab w:val="left" w:pos="1730"/>
        </w:tabs>
        <w:spacing w:after="0" w:line="360" w:lineRule="auto"/>
        <w:rPr>
          <w:rFonts w:ascii="Arial" w:hAnsi="Arial" w:cs="Arial"/>
          <w:b/>
          <w:sz w:val="20"/>
          <w:szCs w:val="20"/>
        </w:rPr>
      </w:pPr>
      <w:r>
        <w:rPr>
          <w:rFonts w:ascii="Arial" w:hAnsi="Arial"/>
          <w:b/>
          <w:sz w:val="20"/>
          <w:szCs w:val="20"/>
        </w:rPr>
        <w:tab/>
      </w:r>
    </w:p>
    <w:p w14:paraId="7DB0D6F5" w14:textId="3A328C01" w:rsidR="009C5E5C" w:rsidRDefault="009C5E5C" w:rsidP="009A3457">
      <w:pPr>
        <w:spacing w:after="0" w:line="360" w:lineRule="auto"/>
        <w:rPr>
          <w:rFonts w:ascii="Arial" w:hAnsi="Arial" w:cs="Arial"/>
          <w:b/>
          <w:sz w:val="20"/>
          <w:szCs w:val="20"/>
        </w:rPr>
      </w:pPr>
    </w:p>
    <w:p w14:paraId="73FCBFF3" w14:textId="1F1F26D0" w:rsidR="00581456" w:rsidRDefault="00581456" w:rsidP="009A3457">
      <w:pPr>
        <w:spacing w:after="0" w:line="360" w:lineRule="auto"/>
        <w:rPr>
          <w:rFonts w:ascii="Arial" w:hAnsi="Arial" w:cs="Arial"/>
          <w:b/>
          <w:sz w:val="20"/>
          <w:szCs w:val="20"/>
        </w:rPr>
      </w:pPr>
    </w:p>
    <w:p w14:paraId="14A1EC59" w14:textId="64487056" w:rsidR="008C6670" w:rsidRDefault="008C6670" w:rsidP="009A3457">
      <w:pPr>
        <w:spacing w:after="0" w:line="360" w:lineRule="auto"/>
        <w:rPr>
          <w:rFonts w:ascii="Arial" w:hAnsi="Arial" w:cs="Arial"/>
          <w:b/>
          <w:sz w:val="20"/>
          <w:szCs w:val="20"/>
        </w:rPr>
      </w:pPr>
    </w:p>
    <w:p w14:paraId="6E635255" w14:textId="781ED549" w:rsidR="000C43E8" w:rsidRDefault="000C43E8" w:rsidP="009A3457">
      <w:pPr>
        <w:spacing w:after="0" w:line="360" w:lineRule="auto"/>
        <w:rPr>
          <w:rFonts w:ascii="Arial" w:hAnsi="Arial" w:cs="Arial"/>
          <w:b/>
          <w:sz w:val="20"/>
          <w:szCs w:val="20"/>
        </w:rPr>
      </w:pPr>
    </w:p>
    <w:p w14:paraId="51E94116" w14:textId="20B1CBA8" w:rsidR="00995D21" w:rsidRDefault="00995D21" w:rsidP="009A3457">
      <w:pPr>
        <w:spacing w:after="0" w:line="360" w:lineRule="auto"/>
        <w:rPr>
          <w:rFonts w:ascii="Arial" w:hAnsi="Arial" w:cs="Arial"/>
          <w:b/>
          <w:sz w:val="20"/>
          <w:szCs w:val="20"/>
        </w:rPr>
      </w:pPr>
    </w:p>
    <w:p w14:paraId="5FDEAB45" w14:textId="77777777" w:rsidR="00995D21" w:rsidRDefault="00995D21" w:rsidP="009A3457">
      <w:pPr>
        <w:spacing w:after="0" w:line="360" w:lineRule="auto"/>
        <w:rPr>
          <w:rFonts w:ascii="Arial" w:hAnsi="Arial" w:cs="Arial"/>
          <w:b/>
          <w:sz w:val="20"/>
          <w:szCs w:val="20"/>
        </w:rPr>
      </w:pPr>
    </w:p>
    <w:p w14:paraId="41A36C5A" w14:textId="6F3BAF51" w:rsidR="009A3457" w:rsidRPr="004C4080" w:rsidRDefault="00C36C38" w:rsidP="009A3457">
      <w:pPr>
        <w:spacing w:after="0" w:line="360" w:lineRule="auto"/>
        <w:rPr>
          <w:rFonts w:ascii="Arial" w:hAnsi="Arial" w:cs="Arial"/>
          <w:b/>
          <w:sz w:val="20"/>
          <w:szCs w:val="20"/>
        </w:rPr>
      </w:pPr>
      <w:r>
        <w:rPr>
          <w:rFonts w:ascii="Arial" w:hAnsi="Arial"/>
          <w:b/>
          <w:sz w:val="20"/>
          <w:szCs w:val="20"/>
        </w:rPr>
        <w:t>Selected top transactions | industrial &amp; logistics | Hamburg &amp; environs | 2022 Q1-3</w:t>
      </w:r>
    </w:p>
    <w:tbl>
      <w:tblPr>
        <w:tblStyle w:val="Tabellenraster"/>
        <w:tblpPr w:leftFromText="141" w:rightFromText="141" w:vertAnchor="text" w:horzAnchor="margin" w:tblpY="-23"/>
        <w:tblW w:w="9634" w:type="dxa"/>
        <w:tblLook w:val="04A0" w:firstRow="1" w:lastRow="0" w:firstColumn="1" w:lastColumn="0" w:noHBand="0" w:noVBand="1"/>
      </w:tblPr>
      <w:tblGrid>
        <w:gridCol w:w="1307"/>
        <w:gridCol w:w="2116"/>
        <w:gridCol w:w="2988"/>
        <w:gridCol w:w="2246"/>
        <w:gridCol w:w="977"/>
      </w:tblGrid>
      <w:tr w:rsidR="00C36C38" w:rsidRPr="0017364E" w14:paraId="2FDA1885" w14:textId="77777777" w:rsidTr="001A2246">
        <w:trPr>
          <w:trHeight w:val="542"/>
        </w:trPr>
        <w:tc>
          <w:tcPr>
            <w:tcW w:w="1187" w:type="dxa"/>
            <w:shd w:val="clear" w:color="auto" w:fill="1F242B" w:themeFill="accent2"/>
          </w:tcPr>
          <w:p w14:paraId="35808679" w14:textId="77777777" w:rsidR="00C36C38" w:rsidRPr="00364664" w:rsidRDefault="00C36C38" w:rsidP="00D11364">
            <w:pPr>
              <w:spacing w:before="60" w:after="60"/>
              <w:jc w:val="center"/>
              <w:rPr>
                <w:rFonts w:ascii="Arial" w:hAnsi="Arial" w:cs="Arial"/>
                <w:b/>
                <w:sz w:val="18"/>
                <w:szCs w:val="16"/>
              </w:rPr>
            </w:pPr>
            <w:r w:rsidRPr="00627131">
              <w:rPr>
                <w:rFonts w:ascii="Arial" w:hAnsi="Arial"/>
                <w:b/>
                <w:sz w:val="18"/>
                <w:szCs w:val="16"/>
              </w:rPr>
              <w:t>City</w:t>
            </w:r>
          </w:p>
        </w:tc>
        <w:tc>
          <w:tcPr>
            <w:tcW w:w="2149" w:type="dxa"/>
            <w:shd w:val="clear" w:color="auto" w:fill="1F242B" w:themeFill="accent2"/>
          </w:tcPr>
          <w:p w14:paraId="1EB39844" w14:textId="77777777" w:rsidR="00C36C38" w:rsidRPr="00364664" w:rsidRDefault="00C36C38" w:rsidP="00D11364">
            <w:pPr>
              <w:spacing w:before="60" w:after="60"/>
              <w:jc w:val="center"/>
              <w:rPr>
                <w:rFonts w:ascii="Arial" w:hAnsi="Arial" w:cs="Arial"/>
                <w:b/>
                <w:sz w:val="18"/>
                <w:szCs w:val="16"/>
              </w:rPr>
            </w:pPr>
            <w:r w:rsidRPr="00627131">
              <w:rPr>
                <w:rFonts w:ascii="Arial" w:hAnsi="Arial"/>
                <w:b/>
                <w:sz w:val="18"/>
                <w:szCs w:val="16"/>
              </w:rPr>
              <w:t>Road/street</w:t>
            </w:r>
          </w:p>
        </w:tc>
        <w:tc>
          <w:tcPr>
            <w:tcW w:w="3038" w:type="dxa"/>
            <w:shd w:val="clear" w:color="auto" w:fill="1F242B" w:themeFill="accent2"/>
          </w:tcPr>
          <w:p w14:paraId="6AE5270B" w14:textId="4B1A2302" w:rsidR="00C36C38" w:rsidRPr="00364664" w:rsidRDefault="00C36C38" w:rsidP="00D11364">
            <w:pPr>
              <w:spacing w:before="60" w:after="60"/>
              <w:jc w:val="center"/>
              <w:rPr>
                <w:rFonts w:ascii="Arial" w:hAnsi="Arial" w:cs="Arial"/>
                <w:b/>
                <w:sz w:val="18"/>
                <w:szCs w:val="16"/>
              </w:rPr>
            </w:pPr>
            <w:r w:rsidRPr="00627131">
              <w:rPr>
                <w:rFonts w:ascii="Arial" w:hAnsi="Arial"/>
                <w:b/>
                <w:sz w:val="18"/>
                <w:szCs w:val="16"/>
              </w:rPr>
              <w:t>Property/project</w:t>
            </w:r>
          </w:p>
        </w:tc>
        <w:tc>
          <w:tcPr>
            <w:tcW w:w="2275" w:type="dxa"/>
            <w:shd w:val="clear" w:color="auto" w:fill="1F242B" w:themeFill="accent2"/>
          </w:tcPr>
          <w:p w14:paraId="7417AFA1" w14:textId="1F3BB6A8" w:rsidR="00C36C38" w:rsidRPr="00364664" w:rsidRDefault="00C36C38" w:rsidP="00D11364">
            <w:pPr>
              <w:spacing w:before="60" w:after="60"/>
              <w:jc w:val="center"/>
              <w:rPr>
                <w:rFonts w:ascii="Arial" w:hAnsi="Arial" w:cs="Arial"/>
                <w:b/>
                <w:sz w:val="18"/>
                <w:szCs w:val="16"/>
              </w:rPr>
            </w:pPr>
            <w:r w:rsidRPr="00627131">
              <w:rPr>
                <w:rFonts w:ascii="Arial" w:hAnsi="Arial"/>
                <w:b/>
                <w:sz w:val="18"/>
                <w:szCs w:val="16"/>
              </w:rPr>
              <w:t>Tenant/owner-occupier</w:t>
            </w:r>
          </w:p>
        </w:tc>
        <w:tc>
          <w:tcPr>
            <w:tcW w:w="985" w:type="dxa"/>
            <w:shd w:val="clear" w:color="auto" w:fill="1F242B" w:themeFill="accent2"/>
          </w:tcPr>
          <w:p w14:paraId="4BB99D36" w14:textId="77777777" w:rsidR="00C36C38" w:rsidRPr="00627131" w:rsidRDefault="00C36C38" w:rsidP="00D11364">
            <w:pPr>
              <w:spacing w:after="0"/>
              <w:jc w:val="center"/>
              <w:rPr>
                <w:rFonts w:ascii="Arial" w:hAnsi="Arial" w:cs="Arial"/>
                <w:b/>
                <w:sz w:val="18"/>
                <w:szCs w:val="16"/>
              </w:rPr>
            </w:pPr>
            <w:r w:rsidRPr="00627131">
              <w:rPr>
                <w:rFonts w:ascii="Arial" w:hAnsi="Arial"/>
                <w:b/>
                <w:sz w:val="18"/>
                <w:szCs w:val="16"/>
              </w:rPr>
              <w:t>Floor area:</w:t>
            </w:r>
          </w:p>
          <w:p w14:paraId="2AD105D9" w14:textId="77777777" w:rsidR="00C36C38" w:rsidRPr="00364664" w:rsidRDefault="00627692" w:rsidP="00D11364">
            <w:pPr>
              <w:spacing w:before="60" w:after="60"/>
              <w:jc w:val="center"/>
              <w:rPr>
                <w:rFonts w:ascii="Arial" w:hAnsi="Arial" w:cs="Arial"/>
                <w:sz w:val="18"/>
                <w:szCs w:val="16"/>
              </w:rPr>
            </w:pPr>
            <w:r w:rsidRPr="00627131">
              <w:rPr>
                <w:rFonts w:ascii="Arial" w:hAnsi="Arial"/>
                <w:sz w:val="18"/>
                <w:szCs w:val="16"/>
              </w:rPr>
              <w:t>[ca. m²]</w:t>
            </w:r>
          </w:p>
        </w:tc>
      </w:tr>
      <w:tr w:rsidR="00D46C16" w:rsidRPr="0017364E" w14:paraId="68A68125" w14:textId="77777777" w:rsidTr="001A2246">
        <w:trPr>
          <w:trHeight w:val="542"/>
        </w:trPr>
        <w:tc>
          <w:tcPr>
            <w:tcW w:w="1187" w:type="dxa"/>
            <w:shd w:val="clear" w:color="auto" w:fill="auto"/>
            <w:vAlign w:val="center"/>
          </w:tcPr>
          <w:p w14:paraId="0D39C9C0" w14:textId="0A1526D6" w:rsidR="00D46C16" w:rsidRPr="00627131" w:rsidRDefault="00D46C16" w:rsidP="00C36C38">
            <w:pPr>
              <w:spacing w:before="60" w:after="60"/>
              <w:rPr>
                <w:rFonts w:ascii="Arial" w:hAnsi="Arial" w:cs="Arial"/>
                <w:sz w:val="18"/>
                <w:szCs w:val="16"/>
              </w:rPr>
            </w:pPr>
            <w:proofErr w:type="spellStart"/>
            <w:r w:rsidRPr="00627131">
              <w:rPr>
                <w:rFonts w:ascii="Arial" w:hAnsi="Arial"/>
                <w:sz w:val="18"/>
                <w:szCs w:val="16"/>
              </w:rPr>
              <w:t>Stelle</w:t>
            </w:r>
            <w:proofErr w:type="spellEnd"/>
          </w:p>
        </w:tc>
        <w:tc>
          <w:tcPr>
            <w:tcW w:w="2149" w:type="dxa"/>
            <w:shd w:val="clear" w:color="auto" w:fill="auto"/>
            <w:vAlign w:val="center"/>
          </w:tcPr>
          <w:p w14:paraId="7CFD76F4" w14:textId="244B0EF3" w:rsidR="00D46C16" w:rsidRPr="00627131" w:rsidRDefault="00D46C16" w:rsidP="00C36C38">
            <w:pPr>
              <w:spacing w:before="60" w:after="60"/>
              <w:rPr>
                <w:rFonts w:ascii="Arial" w:hAnsi="Arial" w:cs="Arial"/>
                <w:sz w:val="18"/>
                <w:szCs w:val="16"/>
              </w:rPr>
            </w:pPr>
            <w:proofErr w:type="spellStart"/>
            <w:r w:rsidRPr="00627131">
              <w:rPr>
                <w:rFonts w:ascii="Arial" w:hAnsi="Arial"/>
                <w:sz w:val="18"/>
                <w:szCs w:val="16"/>
              </w:rPr>
              <w:t>Harburger</w:t>
            </w:r>
            <w:proofErr w:type="spellEnd"/>
            <w:r w:rsidRPr="00627131">
              <w:rPr>
                <w:rFonts w:ascii="Arial" w:hAnsi="Arial"/>
                <w:sz w:val="18"/>
                <w:szCs w:val="16"/>
              </w:rPr>
              <w:t xml:space="preserve"> </w:t>
            </w:r>
            <w:proofErr w:type="spellStart"/>
            <w:r w:rsidRPr="00627131">
              <w:rPr>
                <w:rFonts w:ascii="Arial" w:hAnsi="Arial"/>
                <w:sz w:val="18"/>
                <w:szCs w:val="16"/>
              </w:rPr>
              <w:t>Straße</w:t>
            </w:r>
            <w:proofErr w:type="spellEnd"/>
          </w:p>
        </w:tc>
        <w:tc>
          <w:tcPr>
            <w:tcW w:w="3038" w:type="dxa"/>
            <w:shd w:val="clear" w:color="auto" w:fill="auto"/>
            <w:vAlign w:val="center"/>
          </w:tcPr>
          <w:p w14:paraId="22C9754A" w14:textId="05F23870" w:rsidR="00D46C16" w:rsidRPr="00627131" w:rsidRDefault="00D46C16" w:rsidP="00BE2424">
            <w:pPr>
              <w:spacing w:before="60" w:after="60"/>
              <w:rPr>
                <w:rFonts w:ascii="Arial" w:hAnsi="Arial" w:cs="Arial"/>
                <w:sz w:val="18"/>
                <w:szCs w:val="16"/>
              </w:rPr>
            </w:pPr>
            <w:r w:rsidRPr="00627131">
              <w:rPr>
                <w:rFonts w:ascii="Arial" w:hAnsi="Arial"/>
                <w:sz w:val="18"/>
                <w:szCs w:val="16"/>
              </w:rPr>
              <w:t>Logistics centre</w:t>
            </w:r>
          </w:p>
        </w:tc>
        <w:tc>
          <w:tcPr>
            <w:tcW w:w="2275" w:type="dxa"/>
            <w:shd w:val="clear" w:color="auto" w:fill="auto"/>
            <w:vAlign w:val="center"/>
          </w:tcPr>
          <w:p w14:paraId="25A55B18" w14:textId="2F05B5D5" w:rsidR="00D46C16" w:rsidRPr="00627131" w:rsidRDefault="00D46C16" w:rsidP="00A31B4D">
            <w:pPr>
              <w:spacing w:before="60" w:after="60"/>
              <w:rPr>
                <w:rFonts w:ascii="Arial" w:hAnsi="Arial" w:cs="Arial"/>
                <w:sz w:val="18"/>
                <w:szCs w:val="16"/>
              </w:rPr>
            </w:pPr>
            <w:r w:rsidRPr="00627131">
              <w:rPr>
                <w:rFonts w:ascii="Arial" w:hAnsi="Arial"/>
                <w:sz w:val="18"/>
                <w:szCs w:val="16"/>
              </w:rPr>
              <w:t>Aldi (owner-occupier)</w:t>
            </w:r>
          </w:p>
        </w:tc>
        <w:tc>
          <w:tcPr>
            <w:tcW w:w="985" w:type="dxa"/>
            <w:shd w:val="clear" w:color="auto" w:fill="auto"/>
            <w:vAlign w:val="center"/>
          </w:tcPr>
          <w:p w14:paraId="53A47EEF" w14:textId="3883FBF6" w:rsidR="00D46C16" w:rsidRPr="00627131" w:rsidRDefault="00D46C16" w:rsidP="004C4080">
            <w:pPr>
              <w:spacing w:after="0"/>
              <w:jc w:val="center"/>
              <w:rPr>
                <w:rFonts w:ascii="Arial" w:hAnsi="Arial" w:cs="Arial"/>
                <w:sz w:val="18"/>
                <w:szCs w:val="16"/>
              </w:rPr>
            </w:pPr>
            <w:r w:rsidRPr="00627131">
              <w:rPr>
                <w:rFonts w:ascii="Arial" w:hAnsi="Arial"/>
                <w:sz w:val="18"/>
                <w:szCs w:val="16"/>
              </w:rPr>
              <w:t>42,500</w:t>
            </w:r>
          </w:p>
        </w:tc>
      </w:tr>
      <w:tr w:rsidR="00723B02" w:rsidRPr="0017364E" w14:paraId="69D3244D" w14:textId="77777777" w:rsidTr="001A2246">
        <w:trPr>
          <w:trHeight w:val="542"/>
        </w:trPr>
        <w:tc>
          <w:tcPr>
            <w:tcW w:w="1187" w:type="dxa"/>
            <w:shd w:val="clear" w:color="auto" w:fill="auto"/>
            <w:vAlign w:val="center"/>
          </w:tcPr>
          <w:p w14:paraId="412CEF0C" w14:textId="17CD2BAD" w:rsidR="00723B02" w:rsidRPr="00627131" w:rsidRDefault="00A76566" w:rsidP="00C36C38">
            <w:pPr>
              <w:spacing w:before="60" w:after="60"/>
              <w:rPr>
                <w:rFonts w:ascii="Arial" w:hAnsi="Arial" w:cs="Arial"/>
                <w:sz w:val="18"/>
                <w:szCs w:val="16"/>
              </w:rPr>
            </w:pPr>
            <w:proofErr w:type="spellStart"/>
            <w:r w:rsidRPr="00627131">
              <w:rPr>
                <w:rFonts w:ascii="Arial" w:hAnsi="Arial"/>
                <w:sz w:val="18"/>
                <w:szCs w:val="16"/>
              </w:rPr>
              <w:t>Geesthacht</w:t>
            </w:r>
            <w:proofErr w:type="spellEnd"/>
          </w:p>
        </w:tc>
        <w:tc>
          <w:tcPr>
            <w:tcW w:w="2149" w:type="dxa"/>
            <w:shd w:val="clear" w:color="auto" w:fill="auto"/>
            <w:vAlign w:val="center"/>
          </w:tcPr>
          <w:p w14:paraId="73DB82F0" w14:textId="1F538C86" w:rsidR="00192487" w:rsidRPr="00627131" w:rsidRDefault="00A76566" w:rsidP="00C36C38">
            <w:pPr>
              <w:spacing w:before="60" w:after="60"/>
              <w:rPr>
                <w:rFonts w:ascii="Arial" w:hAnsi="Arial" w:cs="Arial"/>
                <w:sz w:val="18"/>
                <w:szCs w:val="16"/>
              </w:rPr>
            </w:pPr>
            <w:proofErr w:type="spellStart"/>
            <w:r w:rsidRPr="00627131">
              <w:rPr>
                <w:rFonts w:ascii="Arial" w:hAnsi="Arial"/>
                <w:sz w:val="18"/>
                <w:szCs w:val="16"/>
              </w:rPr>
              <w:t>Düneberger</w:t>
            </w:r>
            <w:proofErr w:type="spellEnd"/>
            <w:r w:rsidRPr="00627131">
              <w:rPr>
                <w:rFonts w:ascii="Arial" w:hAnsi="Arial"/>
                <w:sz w:val="18"/>
                <w:szCs w:val="16"/>
              </w:rPr>
              <w:t xml:space="preserve"> </w:t>
            </w:r>
            <w:proofErr w:type="spellStart"/>
            <w:r w:rsidRPr="00627131">
              <w:rPr>
                <w:rFonts w:ascii="Arial" w:hAnsi="Arial"/>
                <w:sz w:val="18"/>
                <w:szCs w:val="16"/>
              </w:rPr>
              <w:t>Strasse</w:t>
            </w:r>
            <w:proofErr w:type="spellEnd"/>
            <w:r w:rsidRPr="00627131">
              <w:rPr>
                <w:rFonts w:ascii="Arial" w:hAnsi="Arial"/>
                <w:sz w:val="18"/>
                <w:szCs w:val="16"/>
              </w:rPr>
              <w:t xml:space="preserve"> 70</w:t>
            </w:r>
          </w:p>
        </w:tc>
        <w:tc>
          <w:tcPr>
            <w:tcW w:w="3038" w:type="dxa"/>
            <w:shd w:val="clear" w:color="auto" w:fill="auto"/>
            <w:vAlign w:val="center"/>
          </w:tcPr>
          <w:p w14:paraId="473B1A63" w14:textId="16920D9C" w:rsidR="00192487" w:rsidRPr="00627131" w:rsidRDefault="00ED765A" w:rsidP="00BE2424">
            <w:pPr>
              <w:spacing w:before="60" w:after="60"/>
              <w:rPr>
                <w:rFonts w:ascii="Arial" w:hAnsi="Arial" w:cs="Arial"/>
                <w:sz w:val="18"/>
                <w:szCs w:val="16"/>
              </w:rPr>
            </w:pPr>
            <w:proofErr w:type="spellStart"/>
            <w:r w:rsidRPr="00627131">
              <w:rPr>
                <w:rFonts w:ascii="Arial" w:hAnsi="Arial"/>
                <w:sz w:val="18"/>
                <w:szCs w:val="16"/>
              </w:rPr>
              <w:t>Norddeutsche</w:t>
            </w:r>
            <w:proofErr w:type="spellEnd"/>
            <w:r w:rsidRPr="00627131">
              <w:rPr>
                <w:rFonts w:ascii="Arial" w:hAnsi="Arial"/>
                <w:sz w:val="18"/>
                <w:szCs w:val="16"/>
              </w:rPr>
              <w:t xml:space="preserve"> </w:t>
            </w:r>
            <w:proofErr w:type="spellStart"/>
            <w:r w:rsidRPr="00627131">
              <w:rPr>
                <w:rFonts w:ascii="Arial" w:hAnsi="Arial"/>
                <w:sz w:val="18"/>
                <w:szCs w:val="16"/>
              </w:rPr>
              <w:t>Teppichfabrik</w:t>
            </w:r>
            <w:proofErr w:type="spellEnd"/>
            <w:r w:rsidRPr="00627131">
              <w:rPr>
                <w:rFonts w:ascii="Arial" w:hAnsi="Arial"/>
                <w:sz w:val="18"/>
                <w:szCs w:val="16"/>
              </w:rPr>
              <w:t xml:space="preserve"> (disused carpet factory)</w:t>
            </w:r>
          </w:p>
        </w:tc>
        <w:tc>
          <w:tcPr>
            <w:tcW w:w="2275" w:type="dxa"/>
            <w:shd w:val="clear" w:color="auto" w:fill="auto"/>
            <w:vAlign w:val="center"/>
          </w:tcPr>
          <w:p w14:paraId="417022B4" w14:textId="2DF01E76" w:rsidR="00723B02" w:rsidRPr="00627131" w:rsidRDefault="00126EB1" w:rsidP="00A31B4D">
            <w:pPr>
              <w:spacing w:before="60" w:after="60"/>
              <w:rPr>
                <w:rFonts w:ascii="Arial" w:hAnsi="Arial" w:cs="Arial"/>
                <w:sz w:val="18"/>
                <w:szCs w:val="16"/>
              </w:rPr>
            </w:pPr>
            <w:r w:rsidRPr="00627131">
              <w:rPr>
                <w:rFonts w:ascii="Arial" w:hAnsi="Arial"/>
                <w:sz w:val="18"/>
                <w:szCs w:val="16"/>
              </w:rPr>
              <w:t xml:space="preserve">Pfaff </w:t>
            </w:r>
            <w:proofErr w:type="spellStart"/>
            <w:r w:rsidRPr="00627131">
              <w:rPr>
                <w:rFonts w:ascii="Arial" w:hAnsi="Arial"/>
                <w:sz w:val="18"/>
                <w:szCs w:val="16"/>
              </w:rPr>
              <w:t>Logistik</w:t>
            </w:r>
            <w:proofErr w:type="spellEnd"/>
          </w:p>
        </w:tc>
        <w:tc>
          <w:tcPr>
            <w:tcW w:w="985" w:type="dxa"/>
            <w:shd w:val="clear" w:color="auto" w:fill="auto"/>
            <w:vAlign w:val="center"/>
          </w:tcPr>
          <w:p w14:paraId="05F02BF6" w14:textId="7B584CBE" w:rsidR="00723B02" w:rsidRPr="00627131" w:rsidRDefault="00A76566" w:rsidP="004C4080">
            <w:pPr>
              <w:spacing w:after="0"/>
              <w:jc w:val="center"/>
              <w:rPr>
                <w:rFonts w:ascii="Arial" w:hAnsi="Arial" w:cs="Arial"/>
                <w:sz w:val="18"/>
                <w:szCs w:val="16"/>
              </w:rPr>
            </w:pPr>
            <w:r w:rsidRPr="00627131">
              <w:rPr>
                <w:rFonts w:ascii="Arial" w:hAnsi="Arial"/>
                <w:sz w:val="18"/>
                <w:szCs w:val="16"/>
              </w:rPr>
              <w:t>29,500</w:t>
            </w:r>
          </w:p>
        </w:tc>
      </w:tr>
      <w:tr w:rsidR="00D46C16" w:rsidRPr="0017364E" w14:paraId="1BCBC91F" w14:textId="77777777" w:rsidTr="001A2246">
        <w:trPr>
          <w:trHeight w:val="542"/>
        </w:trPr>
        <w:tc>
          <w:tcPr>
            <w:tcW w:w="1187" w:type="dxa"/>
            <w:shd w:val="clear" w:color="auto" w:fill="D9D9D9" w:themeFill="background1" w:themeFillShade="D9"/>
            <w:vAlign w:val="center"/>
          </w:tcPr>
          <w:p w14:paraId="01A3BA39" w14:textId="7A34781F" w:rsidR="00D46C16" w:rsidRPr="00627131" w:rsidRDefault="00D46C16" w:rsidP="00C36C38">
            <w:pPr>
              <w:spacing w:before="60" w:after="60"/>
              <w:rPr>
                <w:rFonts w:ascii="Arial" w:hAnsi="Arial" w:cs="Arial"/>
                <w:sz w:val="18"/>
                <w:szCs w:val="16"/>
              </w:rPr>
            </w:pPr>
            <w:proofErr w:type="spellStart"/>
            <w:r w:rsidRPr="00627131">
              <w:rPr>
                <w:rFonts w:ascii="Arial" w:hAnsi="Arial"/>
                <w:sz w:val="18"/>
                <w:szCs w:val="16"/>
              </w:rPr>
              <w:t>Kaltenkirchen</w:t>
            </w:r>
            <w:proofErr w:type="spellEnd"/>
          </w:p>
        </w:tc>
        <w:tc>
          <w:tcPr>
            <w:tcW w:w="2149" w:type="dxa"/>
            <w:shd w:val="clear" w:color="auto" w:fill="D9D9D9" w:themeFill="background1" w:themeFillShade="D9"/>
            <w:vAlign w:val="center"/>
          </w:tcPr>
          <w:p w14:paraId="012BD3DC" w14:textId="0AECD4D0" w:rsidR="00D46C16" w:rsidRPr="00627131" w:rsidRDefault="00D46C16" w:rsidP="00C36C38">
            <w:pPr>
              <w:spacing w:before="60" w:after="60"/>
              <w:rPr>
                <w:rFonts w:ascii="Arial" w:hAnsi="Arial" w:cs="Arial"/>
                <w:sz w:val="18"/>
                <w:szCs w:val="16"/>
              </w:rPr>
            </w:pPr>
            <w:r w:rsidRPr="00627131">
              <w:rPr>
                <w:rFonts w:ascii="Arial" w:hAnsi="Arial"/>
                <w:sz w:val="18"/>
                <w:szCs w:val="16"/>
              </w:rPr>
              <w:t>Werner-von-Siemens-</w:t>
            </w:r>
            <w:proofErr w:type="spellStart"/>
            <w:r w:rsidRPr="00627131">
              <w:rPr>
                <w:rFonts w:ascii="Arial" w:hAnsi="Arial"/>
                <w:sz w:val="18"/>
                <w:szCs w:val="16"/>
              </w:rPr>
              <w:t>Strasse</w:t>
            </w:r>
            <w:proofErr w:type="spellEnd"/>
            <w:r w:rsidRPr="00627131">
              <w:rPr>
                <w:rFonts w:ascii="Arial" w:hAnsi="Arial"/>
                <w:sz w:val="18"/>
                <w:szCs w:val="16"/>
              </w:rPr>
              <w:t xml:space="preserve"> 10</w:t>
            </w:r>
          </w:p>
        </w:tc>
        <w:tc>
          <w:tcPr>
            <w:tcW w:w="3038" w:type="dxa"/>
            <w:shd w:val="clear" w:color="auto" w:fill="D9D9D9" w:themeFill="background1" w:themeFillShade="D9"/>
            <w:vAlign w:val="center"/>
          </w:tcPr>
          <w:p w14:paraId="096B466A" w14:textId="6B049AD9" w:rsidR="00D46C16" w:rsidRPr="00627131" w:rsidRDefault="00750125" w:rsidP="00A76566">
            <w:pPr>
              <w:spacing w:before="60" w:after="60"/>
              <w:rPr>
                <w:rFonts w:ascii="Arial" w:hAnsi="Arial" w:cs="Arial"/>
                <w:sz w:val="18"/>
                <w:szCs w:val="16"/>
              </w:rPr>
            </w:pPr>
            <w:r w:rsidRPr="00627131">
              <w:rPr>
                <w:rFonts w:ascii="Arial" w:hAnsi="Arial"/>
                <w:sz w:val="18"/>
                <w:szCs w:val="16"/>
              </w:rPr>
              <w:t>New build logistics centre</w:t>
            </w:r>
          </w:p>
        </w:tc>
        <w:tc>
          <w:tcPr>
            <w:tcW w:w="2275" w:type="dxa"/>
            <w:shd w:val="clear" w:color="auto" w:fill="D9D9D9" w:themeFill="background1" w:themeFillShade="D9"/>
            <w:vAlign w:val="center"/>
          </w:tcPr>
          <w:p w14:paraId="737904EA" w14:textId="05BF70CA" w:rsidR="00D46C16" w:rsidRPr="00627131" w:rsidRDefault="00D46C16" w:rsidP="00C36C38">
            <w:pPr>
              <w:spacing w:before="60" w:after="60"/>
              <w:rPr>
                <w:rFonts w:ascii="Arial" w:hAnsi="Arial" w:cs="Arial"/>
                <w:sz w:val="18"/>
                <w:szCs w:val="16"/>
              </w:rPr>
            </w:pPr>
            <w:r w:rsidRPr="00627131">
              <w:rPr>
                <w:rFonts w:ascii="Arial" w:hAnsi="Arial"/>
                <w:sz w:val="18"/>
                <w:szCs w:val="16"/>
              </w:rPr>
              <w:t>Picnic</w:t>
            </w:r>
          </w:p>
        </w:tc>
        <w:tc>
          <w:tcPr>
            <w:tcW w:w="985" w:type="dxa"/>
            <w:shd w:val="clear" w:color="auto" w:fill="D9D9D9" w:themeFill="background1" w:themeFillShade="D9"/>
            <w:vAlign w:val="center"/>
          </w:tcPr>
          <w:p w14:paraId="04BE839D" w14:textId="5584AE62" w:rsidR="00D46C16" w:rsidRPr="00627131" w:rsidRDefault="00D46C16" w:rsidP="004C4080">
            <w:pPr>
              <w:spacing w:after="0"/>
              <w:jc w:val="center"/>
              <w:rPr>
                <w:rFonts w:ascii="Arial" w:hAnsi="Arial" w:cs="Arial"/>
                <w:sz w:val="18"/>
                <w:szCs w:val="16"/>
              </w:rPr>
            </w:pPr>
            <w:r w:rsidRPr="00627131">
              <w:rPr>
                <w:rFonts w:ascii="Arial" w:hAnsi="Arial"/>
                <w:sz w:val="18"/>
                <w:szCs w:val="16"/>
              </w:rPr>
              <w:t>25,300</w:t>
            </w:r>
          </w:p>
        </w:tc>
      </w:tr>
      <w:tr w:rsidR="009C5E5C" w:rsidRPr="0017364E" w14:paraId="632D8050" w14:textId="77777777" w:rsidTr="001A2246">
        <w:trPr>
          <w:trHeight w:val="542"/>
        </w:trPr>
        <w:tc>
          <w:tcPr>
            <w:tcW w:w="1187" w:type="dxa"/>
            <w:shd w:val="clear" w:color="auto" w:fill="auto"/>
            <w:vAlign w:val="center"/>
          </w:tcPr>
          <w:p w14:paraId="5CEB731E" w14:textId="3CE99B28" w:rsidR="009C5E5C" w:rsidRPr="00627131" w:rsidRDefault="00A76566" w:rsidP="00C36C38">
            <w:pPr>
              <w:spacing w:before="60" w:after="60"/>
              <w:rPr>
                <w:rFonts w:ascii="Arial" w:hAnsi="Arial" w:cs="Arial"/>
                <w:sz w:val="18"/>
                <w:szCs w:val="16"/>
              </w:rPr>
            </w:pPr>
            <w:r w:rsidRPr="00627131">
              <w:rPr>
                <w:rFonts w:ascii="Arial" w:hAnsi="Arial"/>
                <w:sz w:val="18"/>
                <w:szCs w:val="16"/>
              </w:rPr>
              <w:t>Hamburg</w:t>
            </w:r>
          </w:p>
        </w:tc>
        <w:tc>
          <w:tcPr>
            <w:tcW w:w="2149" w:type="dxa"/>
            <w:shd w:val="clear" w:color="auto" w:fill="auto"/>
            <w:vAlign w:val="center"/>
          </w:tcPr>
          <w:p w14:paraId="4FAC26B5" w14:textId="4492E690" w:rsidR="009C5E5C" w:rsidRPr="00627131" w:rsidRDefault="001753A7" w:rsidP="00C36C38">
            <w:pPr>
              <w:spacing w:before="60" w:after="60"/>
              <w:rPr>
                <w:rFonts w:ascii="Arial" w:hAnsi="Arial" w:cs="Arial"/>
                <w:sz w:val="18"/>
                <w:szCs w:val="16"/>
              </w:rPr>
            </w:pPr>
            <w:proofErr w:type="spellStart"/>
            <w:r w:rsidRPr="00627131">
              <w:rPr>
                <w:rFonts w:ascii="Arial" w:hAnsi="Arial"/>
                <w:sz w:val="18"/>
                <w:szCs w:val="16"/>
              </w:rPr>
              <w:t>Reiherstieg-Hauptdeich</w:t>
            </w:r>
            <w:proofErr w:type="spellEnd"/>
            <w:r w:rsidRPr="00627131">
              <w:rPr>
                <w:rFonts w:ascii="Arial" w:hAnsi="Arial"/>
                <w:sz w:val="18"/>
                <w:szCs w:val="16"/>
              </w:rPr>
              <w:t xml:space="preserve"> 39-47</w:t>
            </w:r>
          </w:p>
        </w:tc>
        <w:tc>
          <w:tcPr>
            <w:tcW w:w="3038" w:type="dxa"/>
            <w:shd w:val="clear" w:color="auto" w:fill="auto"/>
            <w:vAlign w:val="center"/>
          </w:tcPr>
          <w:p w14:paraId="1A55BB4F" w14:textId="6B6195C3" w:rsidR="009C5E5C" w:rsidRPr="00627131" w:rsidRDefault="004C4080" w:rsidP="00A76566">
            <w:pPr>
              <w:spacing w:before="60" w:after="60"/>
              <w:rPr>
                <w:rFonts w:ascii="Arial" w:hAnsi="Arial" w:cs="Arial"/>
                <w:sz w:val="18"/>
                <w:szCs w:val="16"/>
              </w:rPr>
            </w:pPr>
            <w:r w:rsidRPr="00627131">
              <w:rPr>
                <w:rFonts w:ascii="Arial" w:hAnsi="Arial"/>
                <w:sz w:val="18"/>
                <w:szCs w:val="16"/>
              </w:rPr>
              <w:t xml:space="preserve">“Mach2 / Four </w:t>
            </w:r>
            <w:proofErr w:type="spellStart"/>
            <w:r w:rsidRPr="00627131">
              <w:rPr>
                <w:rFonts w:ascii="Arial" w:hAnsi="Arial"/>
                <w:sz w:val="18"/>
                <w:szCs w:val="16"/>
              </w:rPr>
              <w:t>Parx</w:t>
            </w:r>
            <w:proofErr w:type="spellEnd"/>
            <w:r w:rsidRPr="00627131">
              <w:rPr>
                <w:rFonts w:ascii="Arial" w:hAnsi="Arial"/>
                <w:sz w:val="18"/>
                <w:szCs w:val="16"/>
              </w:rPr>
              <w:t xml:space="preserve"> Hamburg”</w:t>
            </w:r>
            <w:r w:rsidRPr="00627131">
              <w:rPr>
                <w:rFonts w:ascii="Arial" w:hAnsi="Arial"/>
                <w:sz w:val="18"/>
                <w:szCs w:val="16"/>
              </w:rPr>
              <w:br/>
              <w:t>new-build logistics halls</w:t>
            </w:r>
          </w:p>
        </w:tc>
        <w:tc>
          <w:tcPr>
            <w:tcW w:w="2275" w:type="dxa"/>
            <w:shd w:val="clear" w:color="auto" w:fill="auto"/>
            <w:vAlign w:val="center"/>
          </w:tcPr>
          <w:p w14:paraId="65FF7919" w14:textId="505E0793" w:rsidR="009C5E5C" w:rsidRPr="00627131" w:rsidRDefault="00126EB1" w:rsidP="00C36C38">
            <w:pPr>
              <w:spacing w:before="60" w:after="60"/>
              <w:rPr>
                <w:rFonts w:ascii="Arial" w:hAnsi="Arial" w:cs="Arial"/>
                <w:sz w:val="18"/>
                <w:szCs w:val="16"/>
              </w:rPr>
            </w:pPr>
            <w:r w:rsidRPr="00627131">
              <w:rPr>
                <w:rFonts w:ascii="Arial" w:hAnsi="Arial"/>
                <w:sz w:val="18"/>
                <w:szCs w:val="16"/>
              </w:rPr>
              <w:t>JYSK</w:t>
            </w:r>
          </w:p>
        </w:tc>
        <w:tc>
          <w:tcPr>
            <w:tcW w:w="985" w:type="dxa"/>
            <w:shd w:val="clear" w:color="auto" w:fill="auto"/>
            <w:vAlign w:val="center"/>
          </w:tcPr>
          <w:p w14:paraId="14D5A527" w14:textId="2578732F" w:rsidR="009C5E5C" w:rsidRPr="00627131" w:rsidRDefault="006A608F" w:rsidP="004C4080">
            <w:pPr>
              <w:spacing w:after="0"/>
              <w:jc w:val="center"/>
              <w:rPr>
                <w:rFonts w:ascii="Arial" w:hAnsi="Arial" w:cs="Arial"/>
                <w:sz w:val="18"/>
                <w:szCs w:val="16"/>
              </w:rPr>
            </w:pPr>
            <w:r w:rsidRPr="00627131">
              <w:rPr>
                <w:rFonts w:ascii="Arial" w:hAnsi="Arial"/>
                <w:sz w:val="18"/>
                <w:szCs w:val="16"/>
              </w:rPr>
              <w:t>24,000</w:t>
            </w:r>
          </w:p>
        </w:tc>
      </w:tr>
      <w:tr w:rsidR="00707260" w:rsidRPr="0017364E" w14:paraId="6810D37C" w14:textId="77777777" w:rsidTr="001A2246">
        <w:trPr>
          <w:trHeight w:val="542"/>
        </w:trPr>
        <w:tc>
          <w:tcPr>
            <w:tcW w:w="1187" w:type="dxa"/>
            <w:shd w:val="clear" w:color="auto" w:fill="auto"/>
            <w:vAlign w:val="center"/>
          </w:tcPr>
          <w:p w14:paraId="6D0FB072" w14:textId="67FB6A8B" w:rsidR="00707260" w:rsidRPr="00627131" w:rsidRDefault="00707260" w:rsidP="00C36C38">
            <w:pPr>
              <w:spacing w:before="60" w:after="60"/>
              <w:rPr>
                <w:rFonts w:ascii="Arial" w:hAnsi="Arial" w:cs="Arial"/>
                <w:sz w:val="18"/>
                <w:szCs w:val="16"/>
              </w:rPr>
            </w:pPr>
            <w:proofErr w:type="spellStart"/>
            <w:r w:rsidRPr="00627131">
              <w:rPr>
                <w:rFonts w:ascii="Arial" w:hAnsi="Arial"/>
                <w:sz w:val="18"/>
                <w:szCs w:val="16"/>
              </w:rPr>
              <w:t>Stapelfeld</w:t>
            </w:r>
            <w:proofErr w:type="spellEnd"/>
          </w:p>
        </w:tc>
        <w:tc>
          <w:tcPr>
            <w:tcW w:w="2149" w:type="dxa"/>
            <w:shd w:val="clear" w:color="auto" w:fill="auto"/>
            <w:vAlign w:val="center"/>
          </w:tcPr>
          <w:p w14:paraId="0DF0EA6C" w14:textId="4D5800D6" w:rsidR="00707260" w:rsidRPr="00627131" w:rsidRDefault="00707260" w:rsidP="00C36C38">
            <w:pPr>
              <w:spacing w:before="60" w:after="60"/>
              <w:rPr>
                <w:rFonts w:ascii="Arial" w:hAnsi="Arial" w:cs="Arial"/>
                <w:sz w:val="18"/>
                <w:szCs w:val="16"/>
              </w:rPr>
            </w:pPr>
            <w:proofErr w:type="spellStart"/>
            <w:r w:rsidRPr="00627131">
              <w:rPr>
                <w:rFonts w:ascii="Arial" w:hAnsi="Arial"/>
                <w:sz w:val="18"/>
                <w:szCs w:val="16"/>
              </w:rPr>
              <w:t>Meiendorfer</w:t>
            </w:r>
            <w:proofErr w:type="spellEnd"/>
            <w:r w:rsidRPr="00627131">
              <w:rPr>
                <w:rFonts w:ascii="Arial" w:hAnsi="Arial"/>
                <w:sz w:val="18"/>
                <w:szCs w:val="16"/>
              </w:rPr>
              <w:t xml:space="preserve"> </w:t>
            </w:r>
            <w:proofErr w:type="spellStart"/>
            <w:r w:rsidRPr="00627131">
              <w:rPr>
                <w:rFonts w:ascii="Arial" w:hAnsi="Arial"/>
                <w:sz w:val="18"/>
                <w:szCs w:val="16"/>
              </w:rPr>
              <w:t>Amtsweg</w:t>
            </w:r>
            <w:proofErr w:type="spellEnd"/>
          </w:p>
        </w:tc>
        <w:tc>
          <w:tcPr>
            <w:tcW w:w="3038" w:type="dxa"/>
            <w:shd w:val="clear" w:color="auto" w:fill="auto"/>
            <w:vAlign w:val="center"/>
          </w:tcPr>
          <w:p w14:paraId="6E5DDF03" w14:textId="1521110F" w:rsidR="00707260" w:rsidRPr="00627131" w:rsidRDefault="00B02941" w:rsidP="00A76566">
            <w:pPr>
              <w:spacing w:before="60" w:after="60"/>
              <w:rPr>
                <w:rFonts w:ascii="Arial" w:hAnsi="Arial" w:cs="Arial"/>
                <w:sz w:val="18"/>
                <w:szCs w:val="16"/>
              </w:rPr>
            </w:pPr>
            <w:r w:rsidRPr="00627131">
              <w:rPr>
                <w:rFonts w:ascii="Arial" w:hAnsi="Arial"/>
                <w:sz w:val="18"/>
                <w:szCs w:val="16"/>
              </w:rPr>
              <w:t>New build logistics centre</w:t>
            </w:r>
          </w:p>
        </w:tc>
        <w:tc>
          <w:tcPr>
            <w:tcW w:w="2275" w:type="dxa"/>
            <w:shd w:val="clear" w:color="auto" w:fill="auto"/>
            <w:vAlign w:val="center"/>
          </w:tcPr>
          <w:p w14:paraId="2241759F" w14:textId="6F1AF4C5" w:rsidR="00707260" w:rsidRPr="00627131" w:rsidRDefault="00707260" w:rsidP="00C36C38">
            <w:pPr>
              <w:spacing w:before="60" w:after="60"/>
              <w:rPr>
                <w:rFonts w:ascii="Arial" w:hAnsi="Arial" w:cs="Arial"/>
                <w:sz w:val="18"/>
                <w:szCs w:val="16"/>
              </w:rPr>
            </w:pPr>
            <w:proofErr w:type="spellStart"/>
            <w:r w:rsidRPr="00627131">
              <w:rPr>
                <w:rFonts w:ascii="Arial" w:hAnsi="Arial"/>
                <w:sz w:val="18"/>
                <w:szCs w:val="16"/>
              </w:rPr>
              <w:t>SoBuy</w:t>
            </w:r>
            <w:proofErr w:type="spellEnd"/>
            <w:r w:rsidRPr="00627131">
              <w:rPr>
                <w:rFonts w:ascii="Arial" w:hAnsi="Arial"/>
                <w:sz w:val="18"/>
                <w:szCs w:val="16"/>
              </w:rPr>
              <w:t xml:space="preserve"> Commercial</w:t>
            </w:r>
          </w:p>
        </w:tc>
        <w:tc>
          <w:tcPr>
            <w:tcW w:w="985" w:type="dxa"/>
            <w:shd w:val="clear" w:color="auto" w:fill="auto"/>
            <w:vAlign w:val="center"/>
          </w:tcPr>
          <w:p w14:paraId="444A0E3B" w14:textId="46239407" w:rsidR="00707260" w:rsidRPr="00627131" w:rsidRDefault="00305878" w:rsidP="004C4080">
            <w:pPr>
              <w:spacing w:after="0"/>
              <w:jc w:val="center"/>
              <w:rPr>
                <w:rFonts w:ascii="Arial" w:hAnsi="Arial" w:cs="Arial"/>
                <w:sz w:val="18"/>
                <w:szCs w:val="16"/>
              </w:rPr>
            </w:pPr>
            <w:r w:rsidRPr="00627131">
              <w:rPr>
                <w:rFonts w:ascii="Arial" w:hAnsi="Arial"/>
                <w:sz w:val="18"/>
                <w:szCs w:val="16"/>
              </w:rPr>
              <w:t>22,100</w:t>
            </w:r>
          </w:p>
        </w:tc>
      </w:tr>
    </w:tbl>
    <w:p w14:paraId="025D18C3" w14:textId="77777777" w:rsidR="008E38C1" w:rsidRPr="00154797" w:rsidRDefault="008E38C1" w:rsidP="008E38C1">
      <w:pPr>
        <w:spacing w:after="0" w:line="360" w:lineRule="auto"/>
        <w:rPr>
          <w:rFonts w:ascii="Arial" w:eastAsia="Arial" w:hAnsi="Arial" w:cs="Arial"/>
          <w:color w:val="000000" w:themeColor="text1"/>
          <w:sz w:val="16"/>
          <w:szCs w:val="16"/>
        </w:rPr>
      </w:pPr>
      <w:r>
        <w:rPr>
          <w:rFonts w:ascii="Arial" w:hAnsi="Arial"/>
          <w:color w:val="000000" w:themeColor="text1"/>
          <w:sz w:val="16"/>
          <w:szCs w:val="16"/>
        </w:rPr>
        <w:t>New agreements are highlighted.</w:t>
      </w:r>
    </w:p>
    <w:p w14:paraId="66526736" w14:textId="77777777" w:rsidR="008E38C1" w:rsidRDefault="008E38C1" w:rsidP="00587FDA">
      <w:pPr>
        <w:spacing w:after="0" w:line="360" w:lineRule="auto"/>
        <w:rPr>
          <w:rFonts w:ascii="Arial" w:eastAsia="Arial" w:hAnsi="Arial" w:cs="Arial"/>
          <w:color w:val="000000" w:themeColor="text1"/>
          <w:sz w:val="20"/>
          <w:szCs w:val="20"/>
        </w:rPr>
      </w:pPr>
    </w:p>
    <w:p w14:paraId="75C7E3C4" w14:textId="07630A5E" w:rsidR="006E5C9C" w:rsidRPr="00A446B1" w:rsidRDefault="00A76566" w:rsidP="00587FDA">
      <w:pPr>
        <w:spacing w:after="0" w:line="360" w:lineRule="auto"/>
        <w:rPr>
          <w:rFonts w:ascii="Arial" w:hAnsi="Arial" w:cs="Arial"/>
          <w:b/>
          <w:sz w:val="16"/>
          <w:szCs w:val="16"/>
        </w:rPr>
      </w:pPr>
      <w:r w:rsidRPr="00A446B1">
        <w:rPr>
          <w:rFonts w:ascii="Arial" w:hAnsi="Arial"/>
          <w:sz w:val="16"/>
          <w:szCs w:val="16"/>
        </w:rPr>
        <w:t xml:space="preserve">Our </w:t>
      </w:r>
      <w:hyperlink r:id="rId9" w:history="1">
        <w:r w:rsidRPr="00A446B1">
          <w:rPr>
            <w:rStyle w:val="Hyperlink"/>
            <w:rFonts w:ascii="Arial" w:hAnsi="Arial"/>
            <w:sz w:val="16"/>
            <w:szCs w:val="16"/>
          </w:rPr>
          <w:t xml:space="preserve">Market </w:t>
        </w:r>
        <w:r w:rsidR="00995D21">
          <w:rPr>
            <w:rStyle w:val="Hyperlink"/>
            <w:rFonts w:ascii="Arial" w:hAnsi="Arial"/>
            <w:sz w:val="16"/>
            <w:szCs w:val="16"/>
          </w:rPr>
          <w:t>s</w:t>
        </w:r>
        <w:r w:rsidRPr="00A446B1">
          <w:rPr>
            <w:rStyle w:val="Hyperlink"/>
            <w:rFonts w:ascii="Arial" w:hAnsi="Arial"/>
            <w:sz w:val="16"/>
            <w:szCs w:val="16"/>
          </w:rPr>
          <w:t xml:space="preserve">urvey </w:t>
        </w:r>
        <w:r w:rsidR="006E64C0">
          <w:rPr>
            <w:rStyle w:val="Hyperlink"/>
            <w:rFonts w:ascii="Arial" w:hAnsi="Arial"/>
            <w:sz w:val="16"/>
            <w:szCs w:val="16"/>
          </w:rPr>
          <w:t>i</w:t>
        </w:r>
        <w:r w:rsidRPr="00A446B1">
          <w:rPr>
            <w:rStyle w:val="Hyperlink"/>
            <w:rFonts w:ascii="Arial" w:hAnsi="Arial"/>
            <w:sz w:val="16"/>
            <w:szCs w:val="16"/>
          </w:rPr>
          <w:t xml:space="preserve">ndustrial &amp; </w:t>
        </w:r>
        <w:r w:rsidR="006E64C0">
          <w:rPr>
            <w:rStyle w:val="Hyperlink"/>
            <w:rFonts w:ascii="Arial" w:hAnsi="Arial"/>
            <w:sz w:val="16"/>
            <w:szCs w:val="16"/>
          </w:rPr>
          <w:t>l</w:t>
        </w:r>
        <w:r w:rsidRPr="00A446B1">
          <w:rPr>
            <w:rStyle w:val="Hyperlink"/>
            <w:rFonts w:ascii="Arial" w:hAnsi="Arial"/>
            <w:sz w:val="16"/>
            <w:szCs w:val="16"/>
          </w:rPr>
          <w:t>ogistics Hamburg 2022/Q4</w:t>
        </w:r>
      </w:hyperlink>
      <w:r w:rsidRPr="00A446B1">
        <w:rPr>
          <w:rFonts w:ascii="Arial" w:hAnsi="Arial"/>
          <w:color w:val="000000" w:themeColor="text1"/>
          <w:sz w:val="16"/>
          <w:szCs w:val="16"/>
        </w:rPr>
        <w:t xml:space="preserve"> will appear in January 2023 and may be downloaded as a PDF file from our website.</w:t>
      </w:r>
    </w:p>
    <w:p w14:paraId="1079D55C" w14:textId="77777777" w:rsidR="00514293" w:rsidRDefault="00514293" w:rsidP="00587FDA">
      <w:pPr>
        <w:spacing w:after="0" w:line="360" w:lineRule="auto"/>
        <w:rPr>
          <w:rFonts w:ascii="Arial" w:hAnsi="Arial" w:cs="Arial"/>
          <w:b/>
          <w:sz w:val="16"/>
          <w:szCs w:val="16"/>
        </w:rPr>
      </w:pPr>
    </w:p>
    <w:p w14:paraId="384199FB" w14:textId="77777777" w:rsidR="0069237A" w:rsidRPr="0090748B" w:rsidRDefault="0069237A" w:rsidP="0069237A">
      <w:pPr>
        <w:spacing w:after="0" w:line="360" w:lineRule="auto"/>
        <w:rPr>
          <w:rFonts w:ascii="Arial" w:hAnsi="Arial" w:cs="Arial"/>
          <w:b/>
          <w:sz w:val="16"/>
          <w:szCs w:val="16"/>
        </w:rPr>
      </w:pPr>
      <w:r>
        <w:rPr>
          <w:rFonts w:ascii="Arial" w:hAnsi="Arial"/>
          <w:b/>
          <w:sz w:val="16"/>
          <w:szCs w:val="16"/>
        </w:rPr>
        <w:t>About Grossmann &amp; Berger</w:t>
      </w:r>
    </w:p>
    <w:bookmarkStart w:id="0" w:name="_GoBack"/>
    <w:bookmarkEnd w:id="0"/>
    <w:p w14:paraId="47BCFDA3" w14:textId="187E35D6" w:rsidR="0069237A" w:rsidRPr="00521AA1" w:rsidRDefault="00361281" w:rsidP="0069237A">
      <w:pPr>
        <w:spacing w:after="0" w:line="360" w:lineRule="auto"/>
        <w:rPr>
          <w:rFonts w:ascii="Arial" w:hAnsi="Arial" w:cs="Arial"/>
          <w:vanish/>
          <w:sz w:val="16"/>
          <w:szCs w:val="16"/>
          <w:specVanish/>
        </w:rPr>
      </w:pPr>
      <w:r>
        <w:fldChar w:fldCharType="begin"/>
      </w:r>
      <w:r>
        <w:instrText xml:space="preserve"> HYPERLINK "https://www.grossmann-berger.de/en" </w:instrText>
      </w:r>
      <w:r>
        <w:fldChar w:fldCharType="separate"/>
      </w:r>
      <w:r w:rsidR="0069237A">
        <w:rPr>
          <w:rStyle w:val="Hyperlink"/>
          <w:rFonts w:ascii="Arial" w:hAnsi="Arial"/>
          <w:snapToGrid w:val="0"/>
          <w:sz w:val="16"/>
          <w:szCs w:val="16"/>
        </w:rPr>
        <w:t>Grossmann &amp; Berger GmbH</w:t>
      </w:r>
      <w:r>
        <w:rPr>
          <w:rStyle w:val="Hyperlink"/>
          <w:rFonts w:ascii="Arial" w:hAnsi="Arial"/>
          <w:snapToGrid w:val="0"/>
          <w:sz w:val="16"/>
          <w:szCs w:val="16"/>
        </w:rPr>
        <w:fldChar w:fldCharType="end"/>
      </w:r>
      <w:r w:rsidR="0069237A">
        <w:rPr>
          <w:rFonts w:ascii="Arial" w:hAnsi="Arial"/>
          <w:snapToGrid w:val="0"/>
          <w:sz w:val="16"/>
          <w:szCs w:val="16"/>
        </w:rPr>
        <w:t xml:space="preserve"> is one of the leading service providers in the business of selling and letting commercial and residential properties in North Germany. Including its main office in Hamburg, the Company has 22 regional offices. This allows Grossmann &amp; Berger to cover the entire North German market. In May 2021 the company was augmented by </w:t>
      </w:r>
      <w:hyperlink r:id="rId10" w:history="1">
        <w:r w:rsidR="0069237A">
          <w:rPr>
            <w:rStyle w:val="Hyperlink"/>
            <w:rFonts w:ascii="Arial" w:hAnsi="Arial"/>
            <w:snapToGrid w:val="0"/>
            <w:sz w:val="16"/>
            <w:szCs w:val="16"/>
          </w:rPr>
          <w:t>E &amp; G Real Estate</w:t>
        </w:r>
      </w:hyperlink>
      <w:r w:rsidR="0069237A">
        <w:rPr>
          <w:rFonts w:ascii="Arial" w:hAnsi="Arial"/>
          <w:snapToGrid w:val="0"/>
          <w:sz w:val="16"/>
          <w:szCs w:val="16"/>
        </w:rPr>
        <w:t xml:space="preserve"> and</w:t>
      </w:r>
      <w:r w:rsidR="0069237A">
        <w:rPr>
          <w:rFonts w:ascii="Arial" w:hAnsi="Arial"/>
          <w:snapToGrid w:val="0"/>
          <w:sz w:val="16"/>
          <w:szCs w:val="16"/>
        </w:rPr>
        <w:br/>
      </w:r>
      <w:hyperlink r:id="rId11" w:history="1">
        <w:r w:rsidR="0069237A">
          <w:rPr>
            <w:rStyle w:val="Hyperlink"/>
            <w:rFonts w:ascii="Arial" w:hAnsi="Arial"/>
            <w:snapToGrid w:val="0"/>
            <w:sz w:val="16"/>
            <w:szCs w:val="16"/>
          </w:rPr>
          <w:t xml:space="preserve">E &amp; G Private </w:t>
        </w:r>
        <w:proofErr w:type="spellStart"/>
        <w:r w:rsidR="0069237A">
          <w:rPr>
            <w:rStyle w:val="Hyperlink"/>
            <w:rFonts w:ascii="Arial" w:hAnsi="Arial"/>
            <w:snapToGrid w:val="0"/>
            <w:sz w:val="16"/>
            <w:szCs w:val="16"/>
          </w:rPr>
          <w:t>Immobilien</w:t>
        </w:r>
        <w:proofErr w:type="spellEnd"/>
      </w:hyperlink>
      <w:r w:rsidR="0069237A">
        <w:rPr>
          <w:rFonts w:ascii="Arial" w:hAnsi="Arial"/>
          <w:snapToGrid w:val="0"/>
          <w:sz w:val="16"/>
          <w:szCs w:val="16"/>
        </w:rPr>
        <w:t xml:space="preserve">, so that Grossmann &amp; Berger also operates in the two South German metropolitan areas of Stuttgart and Munich. Drawing on their comprehensive expertise in the real estate business, some 240 employees provide the full range of relevant </w:t>
      </w:r>
      <w:r w:rsidR="0069237A">
        <w:rPr>
          <w:rFonts w:ascii="Arial" w:hAnsi="Arial"/>
          <w:snapToGrid w:val="0"/>
          <w:sz w:val="16"/>
          <w:szCs w:val="16"/>
        </w:rPr>
        <w:lastRenderedPageBreak/>
        <w:t xml:space="preserve">services. They also benefit from the company’s more than 85 years standing in the industry. </w:t>
      </w:r>
      <w:r w:rsidR="0069237A">
        <w:rPr>
          <w:rFonts w:ascii="Arial" w:hAnsi="Arial"/>
          <w:sz w:val="16"/>
          <w:szCs w:val="16"/>
        </w:rPr>
        <w:t xml:space="preserve">Grossmann &amp; Berger belongs to the HASPA Group and is a founding member of the national commercial real estate network </w:t>
      </w:r>
      <w:hyperlink r:id="rId12" w:history="1">
        <w:r w:rsidR="0069237A">
          <w:rPr>
            <w:rStyle w:val="Hyperlink"/>
            <w:rFonts w:ascii="Arial" w:hAnsi="Arial"/>
            <w:sz w:val="16"/>
            <w:szCs w:val="16"/>
          </w:rPr>
          <w:t>German Property Partners</w:t>
        </w:r>
      </w:hyperlink>
      <w:r w:rsidR="0069237A">
        <w:rPr>
          <w:rFonts w:ascii="Arial" w:hAnsi="Arial"/>
          <w:sz w:val="16"/>
          <w:szCs w:val="16"/>
        </w:rPr>
        <w:t xml:space="preserve"> (GPP).</w:t>
      </w:r>
    </w:p>
    <w:p w14:paraId="385B2CAF" w14:textId="77777777" w:rsidR="0069237A" w:rsidRPr="00521AA1" w:rsidRDefault="0069237A" w:rsidP="0069237A">
      <w:pPr>
        <w:spacing w:after="0" w:line="360" w:lineRule="auto"/>
        <w:rPr>
          <w:rFonts w:ascii="Arial" w:hAnsi="Arial" w:cs="Arial"/>
          <w:sz w:val="16"/>
          <w:szCs w:val="16"/>
        </w:rPr>
      </w:pPr>
    </w:p>
    <w:p w14:paraId="1CCE0094" w14:textId="77777777" w:rsidR="0069237A" w:rsidRDefault="0069237A" w:rsidP="0069237A">
      <w:pPr>
        <w:spacing w:after="0" w:line="360" w:lineRule="auto"/>
        <w:rPr>
          <w:rFonts w:ascii="Arial" w:hAnsi="Arial" w:cs="Arial"/>
          <w:sz w:val="16"/>
          <w:szCs w:val="16"/>
        </w:rPr>
      </w:pPr>
    </w:p>
    <w:p w14:paraId="4B5501F7" w14:textId="10A799D0" w:rsidR="00503D8C" w:rsidRPr="0069237A" w:rsidRDefault="0069237A" w:rsidP="0069237A">
      <w:pPr>
        <w:spacing w:after="0" w:line="360" w:lineRule="auto"/>
        <w:rPr>
          <w:rFonts w:ascii="Arial" w:hAnsi="Arial" w:cs="Arial"/>
          <w:bCs/>
          <w:color w:val="000000" w:themeColor="text1"/>
          <w:sz w:val="20"/>
          <w:szCs w:val="20"/>
        </w:rPr>
      </w:pPr>
      <w:r>
        <w:rPr>
          <w:rFonts w:ascii="Arial" w:hAnsi="Arial"/>
          <w:sz w:val="16"/>
          <w:szCs w:val="16"/>
        </w:rPr>
        <w:t>Please consult our website for Grossmann &amp; Berger’s</w:t>
      </w:r>
      <w:r w:rsidR="00B8591A">
        <w:rPr>
          <w:rFonts w:ascii="Arial" w:hAnsi="Arial"/>
          <w:sz w:val="16"/>
          <w:szCs w:val="16"/>
        </w:rPr>
        <w:t xml:space="preserve"> </w:t>
      </w:r>
      <w:hyperlink r:id="rId13" w:history="1">
        <w:r>
          <w:rPr>
            <w:rStyle w:val="Hyperlink"/>
            <w:rFonts w:ascii="Arial" w:hAnsi="Arial"/>
            <w:sz w:val="16"/>
            <w:szCs w:val="16"/>
          </w:rPr>
          <w:t>data privacy policy</w:t>
        </w:r>
      </w:hyperlink>
      <w:r w:rsidR="00B8591A">
        <w:rPr>
          <w:rFonts w:ascii="Arial" w:hAnsi="Arial"/>
          <w:sz w:val="16"/>
          <w:szCs w:val="16"/>
        </w:rPr>
        <w:t>.</w:t>
      </w:r>
      <w:r>
        <w:rPr>
          <w:rFonts w:ascii="Arial" w:hAnsi="Arial"/>
          <w:sz w:val="16"/>
          <w:szCs w:val="16"/>
        </w:rPr>
        <w:t xml:space="preserve"> Here you will also be able to access our </w:t>
      </w:r>
      <w:hyperlink r:id="rId14" w:history="1">
        <w:r>
          <w:rPr>
            <w:rStyle w:val="Hyperlink"/>
            <w:rFonts w:ascii="Arial" w:hAnsi="Arial"/>
            <w:sz w:val="16"/>
            <w:szCs w:val="16"/>
          </w:rPr>
          <w:t>press kit</w:t>
        </w:r>
      </w:hyperlink>
      <w:r>
        <w:rPr>
          <w:rFonts w:ascii="Arial" w:hAnsi="Arial"/>
          <w:sz w:val="16"/>
          <w:szCs w:val="16"/>
        </w:rPr>
        <w:t xml:space="preserve"> and the associated </w:t>
      </w:r>
      <w:hyperlink r:id="rId15"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6"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503D8C" w:rsidRPr="0069237A" w:rsidSect="00D83CB7">
      <w:headerReference w:type="default" r:id="rId17"/>
      <w:footerReference w:type="default" r:id="rId18"/>
      <w:headerReference w:type="first" r:id="rId19"/>
      <w:footerReference w:type="first" r:id="rId20"/>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4CF2B" w14:textId="77777777" w:rsidR="00635C33" w:rsidRDefault="00635C33">
      <w:r>
        <w:separator/>
      </w:r>
    </w:p>
  </w:endnote>
  <w:endnote w:type="continuationSeparator" w:id="0">
    <w:p w14:paraId="72C2EE7B" w14:textId="77777777" w:rsidR="00635C33" w:rsidRDefault="0063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Mark OT">
    <w:panose1 w:val="00000000000000000000"/>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6E4DE" w14:textId="35B43FAD"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A446B1">
      <w:rPr>
        <w:rFonts w:ascii="Arial" w:hAnsi="Arial"/>
        <w:b/>
        <w:bCs/>
        <w:color w:val="918F90"/>
        <w:sz w:val="18"/>
        <w:szCs w:val="18"/>
        <w:lang w:val="de-DE"/>
      </w:rPr>
      <w:t xml:space="preserve">Grossmann &amp; Berger GmbH </w:t>
    </w:r>
    <w:r w:rsidRPr="00A446B1">
      <w:rPr>
        <w:rFonts w:ascii="Arial" w:hAnsi="Arial"/>
        <w:color w:val="918F90"/>
        <w:sz w:val="18"/>
        <w:szCs w:val="18"/>
        <w:lang w:val="de-DE"/>
      </w:rPr>
      <w:t xml:space="preserve">| </w:t>
    </w:r>
    <w:proofErr w:type="spellStart"/>
    <w:r w:rsidRPr="00A446B1">
      <w:rPr>
        <w:rFonts w:ascii="Arial" w:hAnsi="Arial"/>
        <w:color w:val="918F90"/>
        <w:sz w:val="18"/>
        <w:szCs w:val="18"/>
        <w:lang w:val="de-DE"/>
      </w:rPr>
      <w:t>Bleichenbrücke</w:t>
    </w:r>
    <w:proofErr w:type="spellEnd"/>
    <w:r w:rsidRPr="00A446B1">
      <w:rPr>
        <w:rFonts w:ascii="Arial" w:hAnsi="Arial"/>
        <w:color w:val="918F90"/>
        <w:sz w:val="18"/>
        <w:szCs w:val="18"/>
        <w:lang w:val="de-DE"/>
      </w:rPr>
      <w:t xml:space="preserve"> 9 | 20354 Hamburg | Tel. </w:t>
    </w:r>
    <w:r>
      <w:rPr>
        <w:rFonts w:ascii="Arial" w:hAnsi="Arial"/>
        <w:color w:val="918F90"/>
        <w:sz w:val="18"/>
        <w:szCs w:val="18"/>
      </w:rPr>
      <w:t>+49 (0)40 / 350 80 2-0 | www.grossmann-berger.de</w:t>
    </w:r>
  </w:p>
  <w:p w14:paraId="161708D2" w14:textId="1EDD1031"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361281">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361281">
      <w:rPr>
        <w:rStyle w:val="Seitenzahl"/>
        <w:rFonts w:ascii="Arial" w:hAnsi="Arial" w:cs="Arial"/>
        <w:noProof/>
        <w:color w:val="000000" w:themeColor="text1"/>
        <w:sz w:val="18"/>
        <w:szCs w:val="18"/>
      </w:rPr>
      <w:t>3</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F838" w14:textId="77777777" w:rsidR="008C608D" w:rsidRDefault="008C608D">
    <w:pPr>
      <w:pStyle w:val="Fuzeile"/>
    </w:pPr>
    <w:r>
      <w:rPr>
        <w:noProof/>
        <w:lang w:val="de-DE" w:eastAsia="de-DE"/>
      </w:rPr>
      <w:drawing>
        <wp:anchor distT="0" distB="0" distL="0" distR="0" simplePos="0" relativeHeight="251659264" behindDoc="0" locked="0" layoutInCell="0" allowOverlap="1" wp14:anchorId="1E89235B" wp14:editId="0E1E20DF">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2764C" w14:textId="77777777" w:rsidR="00635C33" w:rsidRDefault="00635C33">
      <w:r>
        <w:separator/>
      </w:r>
    </w:p>
  </w:footnote>
  <w:footnote w:type="continuationSeparator" w:id="0">
    <w:p w14:paraId="0AF5E7F2" w14:textId="77777777" w:rsidR="00635C33" w:rsidRDefault="00635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1852" w14:textId="77777777" w:rsidR="006138CB" w:rsidRPr="009E3ADA" w:rsidRDefault="006A7604" w:rsidP="006138CB">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7456" behindDoc="0" locked="0" layoutInCell="1" allowOverlap="1" wp14:anchorId="46BAE9B7" wp14:editId="6A6E2B17">
              <wp:simplePos x="0" y="0"/>
              <wp:positionH relativeFrom="margin">
                <wp:posOffset>-92075</wp:posOffset>
              </wp:positionH>
              <wp:positionV relativeFrom="paragraph">
                <wp:posOffset>30703</wp:posOffset>
              </wp:positionV>
              <wp:extent cx="4779010" cy="281940"/>
              <wp:effectExtent l="0" t="0" r="0" b="381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281940"/>
                      </a:xfrm>
                      <a:prstGeom prst="rect">
                        <a:avLst/>
                      </a:prstGeom>
                      <a:noFill/>
                      <a:ln w="9525">
                        <a:noFill/>
                        <a:miter lim="800000"/>
                        <a:headEnd/>
                        <a:tailEnd/>
                      </a:ln>
                    </wps:spPr>
                    <wps:txbx>
                      <w:txbxContent>
                        <w:p w14:paraId="34DFB114" w14:textId="4CB68D7B" w:rsidR="006A7604" w:rsidRDefault="006A7604" w:rsidP="006A760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AE9B7" id="_x0000_t202" coordsize="21600,21600" o:spt="202" path="m,l,21600r21600,l21600,xe">
              <v:stroke joinstyle="miter"/>
              <v:path gradientshapeok="t" o:connecttype="rect"/>
            </v:shapetype>
            <v:shape id="Textfeld 4" o:spid="_x0000_s1026" type="#_x0000_t202" style="position:absolute;left:0;text-align:left;margin-left:-7.25pt;margin-top:2.4pt;width:376.3pt;height:22.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" filled="f" stroked="f">
              <v:textbox>
                <w:txbxContent>
                  <w:p w14:paraId="34DFB114" w14:textId="4CB68D7B" w:rsidR="006A7604" w:rsidRDefault="006A7604" w:rsidP="006A760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v:textbox>
              <w10:wrap anchorx="margin"/>
            </v:shape>
          </w:pict>
        </mc:Fallback>
      </mc:AlternateContent>
    </w:r>
    <w:r>
      <w:rPr>
        <w:rFonts w:ascii="Arial" w:hAnsi="Arial"/>
        <w:color w:val="918F90"/>
        <w:sz w:val="28"/>
        <w:szCs w:val="28"/>
      </w:rPr>
      <w:t>Press release</w:t>
    </w:r>
  </w:p>
  <w:p w14:paraId="622F1146"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C5D4E" w14:textId="77777777" w:rsidR="00D83CB7" w:rsidRDefault="006A7604" w:rsidP="000C770D">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5408" behindDoc="0" locked="0" layoutInCell="1" allowOverlap="1" wp14:anchorId="4F12CF69" wp14:editId="52804C30">
              <wp:simplePos x="0" y="0"/>
              <wp:positionH relativeFrom="margin">
                <wp:posOffset>-85725</wp:posOffset>
              </wp:positionH>
              <wp:positionV relativeFrom="paragraph">
                <wp:posOffset>20543</wp:posOffset>
              </wp:positionV>
              <wp:extent cx="4832798" cy="281940"/>
              <wp:effectExtent l="0" t="0" r="0" b="38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798" cy="281940"/>
                      </a:xfrm>
                      <a:prstGeom prst="rect">
                        <a:avLst/>
                      </a:prstGeom>
                      <a:noFill/>
                      <a:ln w="9525">
                        <a:noFill/>
                        <a:miter lim="800000"/>
                        <a:headEnd/>
                        <a:tailEnd/>
                      </a:ln>
                    </wps:spPr>
                    <wps:txbx>
                      <w:txbxContent>
                        <w:p w14:paraId="7E2A5B96" w14:textId="59815738" w:rsidR="006A7604" w:rsidRDefault="006A7604" w:rsidP="006A760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2CF69" id="_x0000_t202" coordsize="21600,21600" o:spt="202" path="m,l,21600r21600,l21600,xe">
              <v:stroke joinstyle="miter"/>
              <v:path gradientshapeok="t" o:connecttype="rect"/>
            </v:shapetype>
            <v:shape id="Textfeld 1" o:spid="_x0000_s1027" type="#_x0000_t202" style="position:absolute;left:0;text-align:left;margin-left:-6.75pt;margin-top:1.6pt;width:380.55pt;height:2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" filled="f" stroked="f">
              <v:textbox>
                <w:txbxContent>
                  <w:p w14:paraId="7E2A5B96" w14:textId="59815738" w:rsidR="006A7604" w:rsidRDefault="006A7604" w:rsidP="006A760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v:textbox>
              <w10:wrap anchorx="margin"/>
            </v:shape>
          </w:pict>
        </mc:Fallback>
      </mc:AlternateContent>
    </w:r>
    <w:r>
      <w:rPr>
        <w:rFonts w:ascii="Arial" w:hAnsi="Arial"/>
        <w:color w:val="918F90"/>
        <w:sz w:val="28"/>
        <w:szCs w:val="28"/>
      </w:rPr>
      <w:t>Press release</w:t>
    </w:r>
  </w:p>
  <w:p w14:paraId="3034665C"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4B1188"/>
    <w:multiLevelType w:val="hybridMultilevel"/>
    <w:tmpl w:val="034E419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0296C5D"/>
    <w:multiLevelType w:val="hybridMultilevel"/>
    <w:tmpl w:val="0FA2F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5"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6"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7"/>
  </w:num>
  <w:num w:numId="14">
    <w:abstractNumId w:val="15"/>
  </w:num>
  <w:num w:numId="15">
    <w:abstractNumId w:val="16"/>
  </w:num>
  <w:num w:numId="16">
    <w:abstractNumId w:val="11"/>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1"/>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0349B"/>
    <w:rsid w:val="000159FE"/>
    <w:rsid w:val="00016DDB"/>
    <w:rsid w:val="00021042"/>
    <w:rsid w:val="00022F16"/>
    <w:rsid w:val="00023D78"/>
    <w:rsid w:val="0003075C"/>
    <w:rsid w:val="00037015"/>
    <w:rsid w:val="00041728"/>
    <w:rsid w:val="00044CC7"/>
    <w:rsid w:val="00045187"/>
    <w:rsid w:val="00050ADA"/>
    <w:rsid w:val="00050E03"/>
    <w:rsid w:val="00057266"/>
    <w:rsid w:val="00060743"/>
    <w:rsid w:val="00066796"/>
    <w:rsid w:val="000720D7"/>
    <w:rsid w:val="000766D7"/>
    <w:rsid w:val="0007670A"/>
    <w:rsid w:val="00082C21"/>
    <w:rsid w:val="00082FDC"/>
    <w:rsid w:val="00083FC2"/>
    <w:rsid w:val="00091B06"/>
    <w:rsid w:val="00095029"/>
    <w:rsid w:val="000A0C99"/>
    <w:rsid w:val="000A1F83"/>
    <w:rsid w:val="000A5ED1"/>
    <w:rsid w:val="000B1606"/>
    <w:rsid w:val="000B3315"/>
    <w:rsid w:val="000C43E8"/>
    <w:rsid w:val="000C770D"/>
    <w:rsid w:val="000D06E3"/>
    <w:rsid w:val="000E03F3"/>
    <w:rsid w:val="000E0716"/>
    <w:rsid w:val="000E3494"/>
    <w:rsid w:val="000E7BC7"/>
    <w:rsid w:val="000F726E"/>
    <w:rsid w:val="001029C4"/>
    <w:rsid w:val="00105EAA"/>
    <w:rsid w:val="0011079D"/>
    <w:rsid w:val="0011486D"/>
    <w:rsid w:val="00120853"/>
    <w:rsid w:val="00121E33"/>
    <w:rsid w:val="0012238F"/>
    <w:rsid w:val="00122A77"/>
    <w:rsid w:val="0012329F"/>
    <w:rsid w:val="00123619"/>
    <w:rsid w:val="00126550"/>
    <w:rsid w:val="00126EB1"/>
    <w:rsid w:val="00127639"/>
    <w:rsid w:val="001324D6"/>
    <w:rsid w:val="00135BD2"/>
    <w:rsid w:val="00135E09"/>
    <w:rsid w:val="0014179B"/>
    <w:rsid w:val="00141FCC"/>
    <w:rsid w:val="00142B3C"/>
    <w:rsid w:val="00143170"/>
    <w:rsid w:val="00143504"/>
    <w:rsid w:val="00143D29"/>
    <w:rsid w:val="00154797"/>
    <w:rsid w:val="00154825"/>
    <w:rsid w:val="0015550E"/>
    <w:rsid w:val="00162BD4"/>
    <w:rsid w:val="00163DB4"/>
    <w:rsid w:val="00170928"/>
    <w:rsid w:val="0017364E"/>
    <w:rsid w:val="0017516B"/>
    <w:rsid w:val="001753A7"/>
    <w:rsid w:val="00176F1D"/>
    <w:rsid w:val="0018068D"/>
    <w:rsid w:val="00181313"/>
    <w:rsid w:val="00185026"/>
    <w:rsid w:val="0018568C"/>
    <w:rsid w:val="001871BC"/>
    <w:rsid w:val="00192487"/>
    <w:rsid w:val="001A2246"/>
    <w:rsid w:val="001A2ABE"/>
    <w:rsid w:val="001A360C"/>
    <w:rsid w:val="001A6053"/>
    <w:rsid w:val="001A7E51"/>
    <w:rsid w:val="001C4F70"/>
    <w:rsid w:val="001C72E7"/>
    <w:rsid w:val="001D14DA"/>
    <w:rsid w:val="001E1172"/>
    <w:rsid w:val="001E1BA2"/>
    <w:rsid w:val="001E6995"/>
    <w:rsid w:val="001F0C02"/>
    <w:rsid w:val="001F1513"/>
    <w:rsid w:val="001F3388"/>
    <w:rsid w:val="001F4E7A"/>
    <w:rsid w:val="00205769"/>
    <w:rsid w:val="00212FEC"/>
    <w:rsid w:val="002131BB"/>
    <w:rsid w:val="0022086D"/>
    <w:rsid w:val="00223A7F"/>
    <w:rsid w:val="00226799"/>
    <w:rsid w:val="00227E31"/>
    <w:rsid w:val="00230F81"/>
    <w:rsid w:val="002341EE"/>
    <w:rsid w:val="00237341"/>
    <w:rsid w:val="002419B6"/>
    <w:rsid w:val="00251750"/>
    <w:rsid w:val="002523E5"/>
    <w:rsid w:val="00252F48"/>
    <w:rsid w:val="00254C6F"/>
    <w:rsid w:val="00255679"/>
    <w:rsid w:val="002578C6"/>
    <w:rsid w:val="00262F5F"/>
    <w:rsid w:val="00264489"/>
    <w:rsid w:val="002677B9"/>
    <w:rsid w:val="0027266B"/>
    <w:rsid w:val="00274D58"/>
    <w:rsid w:val="00281E80"/>
    <w:rsid w:val="002834B0"/>
    <w:rsid w:val="00283671"/>
    <w:rsid w:val="00284A5D"/>
    <w:rsid w:val="00284E27"/>
    <w:rsid w:val="0029137A"/>
    <w:rsid w:val="00294B7D"/>
    <w:rsid w:val="002A1973"/>
    <w:rsid w:val="002A2641"/>
    <w:rsid w:val="002A4913"/>
    <w:rsid w:val="002A7502"/>
    <w:rsid w:val="002A7FFD"/>
    <w:rsid w:val="002B14F6"/>
    <w:rsid w:val="002B1B51"/>
    <w:rsid w:val="002C055A"/>
    <w:rsid w:val="002C2392"/>
    <w:rsid w:val="002D1C5C"/>
    <w:rsid w:val="002D1E20"/>
    <w:rsid w:val="002E5576"/>
    <w:rsid w:val="002E6200"/>
    <w:rsid w:val="002E6860"/>
    <w:rsid w:val="002F0411"/>
    <w:rsid w:val="002F317E"/>
    <w:rsid w:val="002F4176"/>
    <w:rsid w:val="002F4A7D"/>
    <w:rsid w:val="002F767E"/>
    <w:rsid w:val="00301F3A"/>
    <w:rsid w:val="00305878"/>
    <w:rsid w:val="003109D2"/>
    <w:rsid w:val="0031494D"/>
    <w:rsid w:val="003246F0"/>
    <w:rsid w:val="00325E2A"/>
    <w:rsid w:val="003272F3"/>
    <w:rsid w:val="003338B5"/>
    <w:rsid w:val="0033490B"/>
    <w:rsid w:val="003375D4"/>
    <w:rsid w:val="003377DF"/>
    <w:rsid w:val="003421A6"/>
    <w:rsid w:val="00345716"/>
    <w:rsid w:val="0034786C"/>
    <w:rsid w:val="003517C9"/>
    <w:rsid w:val="00357EC4"/>
    <w:rsid w:val="00361281"/>
    <w:rsid w:val="00361A4A"/>
    <w:rsid w:val="003627E1"/>
    <w:rsid w:val="00363EAC"/>
    <w:rsid w:val="00364664"/>
    <w:rsid w:val="00365FE2"/>
    <w:rsid w:val="00370000"/>
    <w:rsid w:val="003704BA"/>
    <w:rsid w:val="003709DA"/>
    <w:rsid w:val="00373507"/>
    <w:rsid w:val="00375B11"/>
    <w:rsid w:val="00381BED"/>
    <w:rsid w:val="0038230E"/>
    <w:rsid w:val="00382529"/>
    <w:rsid w:val="0039259C"/>
    <w:rsid w:val="00395564"/>
    <w:rsid w:val="00395ED5"/>
    <w:rsid w:val="00395FA7"/>
    <w:rsid w:val="0039600D"/>
    <w:rsid w:val="003A00C9"/>
    <w:rsid w:val="003A22D7"/>
    <w:rsid w:val="003A25A4"/>
    <w:rsid w:val="003A4DDA"/>
    <w:rsid w:val="003A6BDC"/>
    <w:rsid w:val="003B40F8"/>
    <w:rsid w:val="003B49E4"/>
    <w:rsid w:val="003B4CCF"/>
    <w:rsid w:val="003B6CD4"/>
    <w:rsid w:val="003C21F2"/>
    <w:rsid w:val="003C6AB4"/>
    <w:rsid w:val="003C7E40"/>
    <w:rsid w:val="003D01C2"/>
    <w:rsid w:val="003D0A8A"/>
    <w:rsid w:val="003D1B49"/>
    <w:rsid w:val="003D2BB6"/>
    <w:rsid w:val="003D58A6"/>
    <w:rsid w:val="003D5CFE"/>
    <w:rsid w:val="003D6FF9"/>
    <w:rsid w:val="003E099F"/>
    <w:rsid w:val="003E48E3"/>
    <w:rsid w:val="003E4DF9"/>
    <w:rsid w:val="003F03F9"/>
    <w:rsid w:val="003F665D"/>
    <w:rsid w:val="003F7C37"/>
    <w:rsid w:val="0040086D"/>
    <w:rsid w:val="004017D8"/>
    <w:rsid w:val="00401C1C"/>
    <w:rsid w:val="00404594"/>
    <w:rsid w:val="00404D58"/>
    <w:rsid w:val="00411E03"/>
    <w:rsid w:val="004123B1"/>
    <w:rsid w:val="004303A1"/>
    <w:rsid w:val="00440DC9"/>
    <w:rsid w:val="004433EA"/>
    <w:rsid w:val="004450C4"/>
    <w:rsid w:val="00446638"/>
    <w:rsid w:val="004506D2"/>
    <w:rsid w:val="00451530"/>
    <w:rsid w:val="004550D5"/>
    <w:rsid w:val="00455FC3"/>
    <w:rsid w:val="00456F40"/>
    <w:rsid w:val="004609BD"/>
    <w:rsid w:val="00464B04"/>
    <w:rsid w:val="004661EE"/>
    <w:rsid w:val="00466741"/>
    <w:rsid w:val="00470064"/>
    <w:rsid w:val="00474753"/>
    <w:rsid w:val="004761F0"/>
    <w:rsid w:val="00476E2B"/>
    <w:rsid w:val="004843A0"/>
    <w:rsid w:val="004875DB"/>
    <w:rsid w:val="004A27D9"/>
    <w:rsid w:val="004A2BEA"/>
    <w:rsid w:val="004A3C64"/>
    <w:rsid w:val="004A4AA9"/>
    <w:rsid w:val="004A5AD1"/>
    <w:rsid w:val="004A5AEA"/>
    <w:rsid w:val="004B2FDA"/>
    <w:rsid w:val="004B45A2"/>
    <w:rsid w:val="004B480A"/>
    <w:rsid w:val="004C0CA2"/>
    <w:rsid w:val="004C4080"/>
    <w:rsid w:val="004C48C8"/>
    <w:rsid w:val="004C6712"/>
    <w:rsid w:val="004C6E6E"/>
    <w:rsid w:val="004D50C0"/>
    <w:rsid w:val="004D772A"/>
    <w:rsid w:val="004E339B"/>
    <w:rsid w:val="004E4273"/>
    <w:rsid w:val="004E4562"/>
    <w:rsid w:val="004E51E0"/>
    <w:rsid w:val="004E7B3E"/>
    <w:rsid w:val="004F077F"/>
    <w:rsid w:val="004F091E"/>
    <w:rsid w:val="004F1311"/>
    <w:rsid w:val="004F4066"/>
    <w:rsid w:val="005023DD"/>
    <w:rsid w:val="00503D8C"/>
    <w:rsid w:val="00510F37"/>
    <w:rsid w:val="00514293"/>
    <w:rsid w:val="00515269"/>
    <w:rsid w:val="00522B84"/>
    <w:rsid w:val="00530EB4"/>
    <w:rsid w:val="00531A7F"/>
    <w:rsid w:val="00531AD3"/>
    <w:rsid w:val="00534BAD"/>
    <w:rsid w:val="005360E8"/>
    <w:rsid w:val="00537DEF"/>
    <w:rsid w:val="005428C5"/>
    <w:rsid w:val="00543C55"/>
    <w:rsid w:val="00550954"/>
    <w:rsid w:val="00553421"/>
    <w:rsid w:val="0055393B"/>
    <w:rsid w:val="005554C7"/>
    <w:rsid w:val="00556F58"/>
    <w:rsid w:val="005606A6"/>
    <w:rsid w:val="00561301"/>
    <w:rsid w:val="00567D57"/>
    <w:rsid w:val="005743D2"/>
    <w:rsid w:val="00577799"/>
    <w:rsid w:val="00580EB7"/>
    <w:rsid w:val="00581456"/>
    <w:rsid w:val="00582B99"/>
    <w:rsid w:val="005860E2"/>
    <w:rsid w:val="00586256"/>
    <w:rsid w:val="00587FDA"/>
    <w:rsid w:val="00590903"/>
    <w:rsid w:val="0059148B"/>
    <w:rsid w:val="005A5CB3"/>
    <w:rsid w:val="005A617A"/>
    <w:rsid w:val="005A76EE"/>
    <w:rsid w:val="005B0FC9"/>
    <w:rsid w:val="005B66D3"/>
    <w:rsid w:val="005C100F"/>
    <w:rsid w:val="005C29E5"/>
    <w:rsid w:val="005C4556"/>
    <w:rsid w:val="005C5302"/>
    <w:rsid w:val="005D307B"/>
    <w:rsid w:val="005D515A"/>
    <w:rsid w:val="005D7B79"/>
    <w:rsid w:val="005E362E"/>
    <w:rsid w:val="005F2D3C"/>
    <w:rsid w:val="005F7593"/>
    <w:rsid w:val="006021B6"/>
    <w:rsid w:val="006029D7"/>
    <w:rsid w:val="00603A68"/>
    <w:rsid w:val="006071DC"/>
    <w:rsid w:val="0061109D"/>
    <w:rsid w:val="00612AA0"/>
    <w:rsid w:val="006138CB"/>
    <w:rsid w:val="00615DC2"/>
    <w:rsid w:val="00615FA2"/>
    <w:rsid w:val="00616335"/>
    <w:rsid w:val="0062106E"/>
    <w:rsid w:val="006224C4"/>
    <w:rsid w:val="006225EA"/>
    <w:rsid w:val="006261DF"/>
    <w:rsid w:val="00627131"/>
    <w:rsid w:val="00627588"/>
    <w:rsid w:val="00627692"/>
    <w:rsid w:val="00630694"/>
    <w:rsid w:val="00632543"/>
    <w:rsid w:val="006335A9"/>
    <w:rsid w:val="00633847"/>
    <w:rsid w:val="00634517"/>
    <w:rsid w:val="00635C33"/>
    <w:rsid w:val="00641270"/>
    <w:rsid w:val="00642074"/>
    <w:rsid w:val="006424F8"/>
    <w:rsid w:val="00642832"/>
    <w:rsid w:val="00646A18"/>
    <w:rsid w:val="00647950"/>
    <w:rsid w:val="00662F19"/>
    <w:rsid w:val="006752B2"/>
    <w:rsid w:val="00681CAB"/>
    <w:rsid w:val="006842EF"/>
    <w:rsid w:val="0068555F"/>
    <w:rsid w:val="00687256"/>
    <w:rsid w:val="0069237A"/>
    <w:rsid w:val="006928C4"/>
    <w:rsid w:val="00692D1D"/>
    <w:rsid w:val="0069320C"/>
    <w:rsid w:val="00693566"/>
    <w:rsid w:val="00695E58"/>
    <w:rsid w:val="006966CB"/>
    <w:rsid w:val="0069757D"/>
    <w:rsid w:val="006A1329"/>
    <w:rsid w:val="006A608F"/>
    <w:rsid w:val="006A66F9"/>
    <w:rsid w:val="006A7604"/>
    <w:rsid w:val="006C1DD8"/>
    <w:rsid w:val="006D024C"/>
    <w:rsid w:val="006D0A0A"/>
    <w:rsid w:val="006D12FB"/>
    <w:rsid w:val="006D360D"/>
    <w:rsid w:val="006D58B9"/>
    <w:rsid w:val="006E03AB"/>
    <w:rsid w:val="006E5C9C"/>
    <w:rsid w:val="006E64C0"/>
    <w:rsid w:val="006F1774"/>
    <w:rsid w:val="006F46E0"/>
    <w:rsid w:val="006F625D"/>
    <w:rsid w:val="0070224E"/>
    <w:rsid w:val="00704C9B"/>
    <w:rsid w:val="00707260"/>
    <w:rsid w:val="00711ECC"/>
    <w:rsid w:val="00715FB9"/>
    <w:rsid w:val="007166B3"/>
    <w:rsid w:val="00717A20"/>
    <w:rsid w:val="00720DED"/>
    <w:rsid w:val="00720DFF"/>
    <w:rsid w:val="00723B02"/>
    <w:rsid w:val="00730E23"/>
    <w:rsid w:val="0073257C"/>
    <w:rsid w:val="00737230"/>
    <w:rsid w:val="0074780F"/>
    <w:rsid w:val="00750125"/>
    <w:rsid w:val="0075428A"/>
    <w:rsid w:val="00762CC5"/>
    <w:rsid w:val="00764E36"/>
    <w:rsid w:val="00765C4B"/>
    <w:rsid w:val="0076692B"/>
    <w:rsid w:val="00767B8E"/>
    <w:rsid w:val="0078628E"/>
    <w:rsid w:val="00786781"/>
    <w:rsid w:val="00787037"/>
    <w:rsid w:val="007906B4"/>
    <w:rsid w:val="007970A0"/>
    <w:rsid w:val="007A592B"/>
    <w:rsid w:val="007B215B"/>
    <w:rsid w:val="007B4617"/>
    <w:rsid w:val="007B7BAD"/>
    <w:rsid w:val="007C2AF5"/>
    <w:rsid w:val="007C3BBA"/>
    <w:rsid w:val="007C5B5E"/>
    <w:rsid w:val="007C7AA5"/>
    <w:rsid w:val="007D080F"/>
    <w:rsid w:val="007D1FC4"/>
    <w:rsid w:val="007E0DED"/>
    <w:rsid w:val="007E28C6"/>
    <w:rsid w:val="007E3B34"/>
    <w:rsid w:val="007E41BA"/>
    <w:rsid w:val="007E5BB9"/>
    <w:rsid w:val="007E759D"/>
    <w:rsid w:val="007E78E9"/>
    <w:rsid w:val="007F2DBE"/>
    <w:rsid w:val="007F33B6"/>
    <w:rsid w:val="007F3DCE"/>
    <w:rsid w:val="007F5D65"/>
    <w:rsid w:val="007F642D"/>
    <w:rsid w:val="007F756A"/>
    <w:rsid w:val="0080256B"/>
    <w:rsid w:val="008044B3"/>
    <w:rsid w:val="0080777B"/>
    <w:rsid w:val="00812471"/>
    <w:rsid w:val="00816064"/>
    <w:rsid w:val="00824727"/>
    <w:rsid w:val="00824D33"/>
    <w:rsid w:val="008261A5"/>
    <w:rsid w:val="0083382E"/>
    <w:rsid w:val="008414A6"/>
    <w:rsid w:val="00842F5E"/>
    <w:rsid w:val="00850B30"/>
    <w:rsid w:val="00855325"/>
    <w:rsid w:val="00855494"/>
    <w:rsid w:val="00855D4A"/>
    <w:rsid w:val="00862E34"/>
    <w:rsid w:val="0086403E"/>
    <w:rsid w:val="00865915"/>
    <w:rsid w:val="008715FE"/>
    <w:rsid w:val="00871832"/>
    <w:rsid w:val="008740D8"/>
    <w:rsid w:val="0087446E"/>
    <w:rsid w:val="00874930"/>
    <w:rsid w:val="008775C5"/>
    <w:rsid w:val="00883410"/>
    <w:rsid w:val="00886360"/>
    <w:rsid w:val="00886953"/>
    <w:rsid w:val="00886CCE"/>
    <w:rsid w:val="008942C6"/>
    <w:rsid w:val="00896B33"/>
    <w:rsid w:val="00896D24"/>
    <w:rsid w:val="008A486B"/>
    <w:rsid w:val="008A62FB"/>
    <w:rsid w:val="008A77B7"/>
    <w:rsid w:val="008B0F67"/>
    <w:rsid w:val="008C0F8D"/>
    <w:rsid w:val="008C5C1A"/>
    <w:rsid w:val="008C608D"/>
    <w:rsid w:val="008C6670"/>
    <w:rsid w:val="008C7E5F"/>
    <w:rsid w:val="008E38C1"/>
    <w:rsid w:val="008E3AE2"/>
    <w:rsid w:val="008E461D"/>
    <w:rsid w:val="008E65DC"/>
    <w:rsid w:val="008F08E5"/>
    <w:rsid w:val="008F0EA4"/>
    <w:rsid w:val="008F38F6"/>
    <w:rsid w:val="008F5213"/>
    <w:rsid w:val="008F594E"/>
    <w:rsid w:val="009000CF"/>
    <w:rsid w:val="0090574E"/>
    <w:rsid w:val="009073C7"/>
    <w:rsid w:val="0090748B"/>
    <w:rsid w:val="009101A6"/>
    <w:rsid w:val="00920C9C"/>
    <w:rsid w:val="00922754"/>
    <w:rsid w:val="00925781"/>
    <w:rsid w:val="009258D0"/>
    <w:rsid w:val="00926F5D"/>
    <w:rsid w:val="0092736D"/>
    <w:rsid w:val="00932E7E"/>
    <w:rsid w:val="00935AB3"/>
    <w:rsid w:val="0094505A"/>
    <w:rsid w:val="009526DF"/>
    <w:rsid w:val="009553B8"/>
    <w:rsid w:val="00956905"/>
    <w:rsid w:val="00963140"/>
    <w:rsid w:val="009646C4"/>
    <w:rsid w:val="00965108"/>
    <w:rsid w:val="009734CE"/>
    <w:rsid w:val="00974E78"/>
    <w:rsid w:val="00976B5A"/>
    <w:rsid w:val="00982387"/>
    <w:rsid w:val="009827B0"/>
    <w:rsid w:val="0098460C"/>
    <w:rsid w:val="00986F4C"/>
    <w:rsid w:val="009919C7"/>
    <w:rsid w:val="0099386F"/>
    <w:rsid w:val="0099413E"/>
    <w:rsid w:val="00995237"/>
    <w:rsid w:val="00995D21"/>
    <w:rsid w:val="00996E1A"/>
    <w:rsid w:val="009A3457"/>
    <w:rsid w:val="009A504F"/>
    <w:rsid w:val="009A6689"/>
    <w:rsid w:val="009B1E98"/>
    <w:rsid w:val="009B42CF"/>
    <w:rsid w:val="009B4392"/>
    <w:rsid w:val="009B6D79"/>
    <w:rsid w:val="009B7D09"/>
    <w:rsid w:val="009C0678"/>
    <w:rsid w:val="009C5E5C"/>
    <w:rsid w:val="009D24DA"/>
    <w:rsid w:val="009D35EC"/>
    <w:rsid w:val="009D5D75"/>
    <w:rsid w:val="009D684A"/>
    <w:rsid w:val="009E0858"/>
    <w:rsid w:val="009E0C0B"/>
    <w:rsid w:val="009E5167"/>
    <w:rsid w:val="009E6514"/>
    <w:rsid w:val="009F01DF"/>
    <w:rsid w:val="009F32A2"/>
    <w:rsid w:val="009F54CE"/>
    <w:rsid w:val="00A02793"/>
    <w:rsid w:val="00A05C3F"/>
    <w:rsid w:val="00A06264"/>
    <w:rsid w:val="00A103B0"/>
    <w:rsid w:val="00A1639A"/>
    <w:rsid w:val="00A215C9"/>
    <w:rsid w:val="00A31B4D"/>
    <w:rsid w:val="00A42A17"/>
    <w:rsid w:val="00A443FF"/>
    <w:rsid w:val="00A446B1"/>
    <w:rsid w:val="00A46F56"/>
    <w:rsid w:val="00A5364B"/>
    <w:rsid w:val="00A615E0"/>
    <w:rsid w:val="00A65E2B"/>
    <w:rsid w:val="00A74AA0"/>
    <w:rsid w:val="00A7546D"/>
    <w:rsid w:val="00A75699"/>
    <w:rsid w:val="00A76566"/>
    <w:rsid w:val="00A77100"/>
    <w:rsid w:val="00A81D4D"/>
    <w:rsid w:val="00A85F19"/>
    <w:rsid w:val="00A8792D"/>
    <w:rsid w:val="00A90C63"/>
    <w:rsid w:val="00AA18A7"/>
    <w:rsid w:val="00AA38B1"/>
    <w:rsid w:val="00AA4D97"/>
    <w:rsid w:val="00AB6E54"/>
    <w:rsid w:val="00AC168C"/>
    <w:rsid w:val="00AC41D5"/>
    <w:rsid w:val="00AD17B7"/>
    <w:rsid w:val="00AD7C39"/>
    <w:rsid w:val="00AE4157"/>
    <w:rsid w:val="00AF08D2"/>
    <w:rsid w:val="00AF1FB0"/>
    <w:rsid w:val="00AF362A"/>
    <w:rsid w:val="00B02941"/>
    <w:rsid w:val="00B04801"/>
    <w:rsid w:val="00B06306"/>
    <w:rsid w:val="00B069C5"/>
    <w:rsid w:val="00B06D1B"/>
    <w:rsid w:val="00B077D5"/>
    <w:rsid w:val="00B079DF"/>
    <w:rsid w:val="00B136DC"/>
    <w:rsid w:val="00B16A78"/>
    <w:rsid w:val="00B200E4"/>
    <w:rsid w:val="00B210A4"/>
    <w:rsid w:val="00B24E92"/>
    <w:rsid w:val="00B26FFD"/>
    <w:rsid w:val="00B35B6D"/>
    <w:rsid w:val="00B35DC6"/>
    <w:rsid w:val="00B4182C"/>
    <w:rsid w:val="00B42B8C"/>
    <w:rsid w:val="00B42F67"/>
    <w:rsid w:val="00B4491B"/>
    <w:rsid w:val="00B46EE2"/>
    <w:rsid w:val="00B500A5"/>
    <w:rsid w:val="00B51699"/>
    <w:rsid w:val="00B53FAF"/>
    <w:rsid w:val="00B60999"/>
    <w:rsid w:val="00B63153"/>
    <w:rsid w:val="00B6527D"/>
    <w:rsid w:val="00B7396A"/>
    <w:rsid w:val="00B73B3A"/>
    <w:rsid w:val="00B74507"/>
    <w:rsid w:val="00B7542D"/>
    <w:rsid w:val="00B75718"/>
    <w:rsid w:val="00B75E7E"/>
    <w:rsid w:val="00B762EB"/>
    <w:rsid w:val="00B76927"/>
    <w:rsid w:val="00B81D29"/>
    <w:rsid w:val="00B8591A"/>
    <w:rsid w:val="00B85FF2"/>
    <w:rsid w:val="00B93817"/>
    <w:rsid w:val="00B9391B"/>
    <w:rsid w:val="00B9682D"/>
    <w:rsid w:val="00BA0849"/>
    <w:rsid w:val="00BA0B96"/>
    <w:rsid w:val="00BA1A9C"/>
    <w:rsid w:val="00BA21A3"/>
    <w:rsid w:val="00BB06B9"/>
    <w:rsid w:val="00BB15DA"/>
    <w:rsid w:val="00BB340D"/>
    <w:rsid w:val="00BC2A3A"/>
    <w:rsid w:val="00BC3E27"/>
    <w:rsid w:val="00BC64EC"/>
    <w:rsid w:val="00BD029E"/>
    <w:rsid w:val="00BD073D"/>
    <w:rsid w:val="00BD0D66"/>
    <w:rsid w:val="00BD2E2F"/>
    <w:rsid w:val="00BE2424"/>
    <w:rsid w:val="00BE4198"/>
    <w:rsid w:val="00BF31E4"/>
    <w:rsid w:val="00BF3AFD"/>
    <w:rsid w:val="00BF3C49"/>
    <w:rsid w:val="00BF6593"/>
    <w:rsid w:val="00C024D1"/>
    <w:rsid w:val="00C12F1D"/>
    <w:rsid w:val="00C1606C"/>
    <w:rsid w:val="00C23180"/>
    <w:rsid w:val="00C245F2"/>
    <w:rsid w:val="00C26F94"/>
    <w:rsid w:val="00C2798B"/>
    <w:rsid w:val="00C36C38"/>
    <w:rsid w:val="00C41492"/>
    <w:rsid w:val="00C47179"/>
    <w:rsid w:val="00C502EC"/>
    <w:rsid w:val="00C50874"/>
    <w:rsid w:val="00C51419"/>
    <w:rsid w:val="00C702B5"/>
    <w:rsid w:val="00C70389"/>
    <w:rsid w:val="00C748A6"/>
    <w:rsid w:val="00C8454D"/>
    <w:rsid w:val="00C904B6"/>
    <w:rsid w:val="00C90A75"/>
    <w:rsid w:val="00C96DF4"/>
    <w:rsid w:val="00CA6A66"/>
    <w:rsid w:val="00CB18EE"/>
    <w:rsid w:val="00CB6245"/>
    <w:rsid w:val="00CC1337"/>
    <w:rsid w:val="00CC2514"/>
    <w:rsid w:val="00CC48DF"/>
    <w:rsid w:val="00CD1CCD"/>
    <w:rsid w:val="00CD4275"/>
    <w:rsid w:val="00CD4A91"/>
    <w:rsid w:val="00CD70E7"/>
    <w:rsid w:val="00CD7363"/>
    <w:rsid w:val="00CE0964"/>
    <w:rsid w:val="00CE0C1F"/>
    <w:rsid w:val="00CE41E1"/>
    <w:rsid w:val="00CE455F"/>
    <w:rsid w:val="00CF0BF9"/>
    <w:rsid w:val="00CF5957"/>
    <w:rsid w:val="00CF7CBD"/>
    <w:rsid w:val="00D01D40"/>
    <w:rsid w:val="00D02460"/>
    <w:rsid w:val="00D02D0D"/>
    <w:rsid w:val="00D04BA2"/>
    <w:rsid w:val="00D077B0"/>
    <w:rsid w:val="00D10B6F"/>
    <w:rsid w:val="00D11364"/>
    <w:rsid w:val="00D13F86"/>
    <w:rsid w:val="00D1602C"/>
    <w:rsid w:val="00D1670A"/>
    <w:rsid w:val="00D216F3"/>
    <w:rsid w:val="00D22D42"/>
    <w:rsid w:val="00D232F7"/>
    <w:rsid w:val="00D252B7"/>
    <w:rsid w:val="00D36D8D"/>
    <w:rsid w:val="00D45711"/>
    <w:rsid w:val="00D46C16"/>
    <w:rsid w:val="00D500FC"/>
    <w:rsid w:val="00D51597"/>
    <w:rsid w:val="00D5326E"/>
    <w:rsid w:val="00D55867"/>
    <w:rsid w:val="00D5605B"/>
    <w:rsid w:val="00D634A3"/>
    <w:rsid w:val="00D64886"/>
    <w:rsid w:val="00D7059B"/>
    <w:rsid w:val="00D713A7"/>
    <w:rsid w:val="00D72339"/>
    <w:rsid w:val="00D73E47"/>
    <w:rsid w:val="00D74ABB"/>
    <w:rsid w:val="00D77B6E"/>
    <w:rsid w:val="00D83CB0"/>
    <w:rsid w:val="00D83CB7"/>
    <w:rsid w:val="00D85C58"/>
    <w:rsid w:val="00D97FA8"/>
    <w:rsid w:val="00DA0CFD"/>
    <w:rsid w:val="00DA2E1E"/>
    <w:rsid w:val="00DA3063"/>
    <w:rsid w:val="00DA75EB"/>
    <w:rsid w:val="00DB4363"/>
    <w:rsid w:val="00DC7B25"/>
    <w:rsid w:val="00DD422D"/>
    <w:rsid w:val="00DD5942"/>
    <w:rsid w:val="00DD652C"/>
    <w:rsid w:val="00DD6B73"/>
    <w:rsid w:val="00DE23F8"/>
    <w:rsid w:val="00DE4EB3"/>
    <w:rsid w:val="00DE7CC2"/>
    <w:rsid w:val="00DF5A23"/>
    <w:rsid w:val="00E036F9"/>
    <w:rsid w:val="00E04521"/>
    <w:rsid w:val="00E04869"/>
    <w:rsid w:val="00E05CF6"/>
    <w:rsid w:val="00E112C9"/>
    <w:rsid w:val="00E12C06"/>
    <w:rsid w:val="00E1314C"/>
    <w:rsid w:val="00E138AB"/>
    <w:rsid w:val="00E149C4"/>
    <w:rsid w:val="00E158F7"/>
    <w:rsid w:val="00E175DE"/>
    <w:rsid w:val="00E2087E"/>
    <w:rsid w:val="00E21D2A"/>
    <w:rsid w:val="00E21FF0"/>
    <w:rsid w:val="00E2470E"/>
    <w:rsid w:val="00E2636D"/>
    <w:rsid w:val="00E33631"/>
    <w:rsid w:val="00E34976"/>
    <w:rsid w:val="00E36818"/>
    <w:rsid w:val="00E36AA4"/>
    <w:rsid w:val="00E37B23"/>
    <w:rsid w:val="00E455D7"/>
    <w:rsid w:val="00E47B97"/>
    <w:rsid w:val="00E5010B"/>
    <w:rsid w:val="00E5203C"/>
    <w:rsid w:val="00E55438"/>
    <w:rsid w:val="00E55B40"/>
    <w:rsid w:val="00E634CC"/>
    <w:rsid w:val="00E63C8F"/>
    <w:rsid w:val="00E64B2E"/>
    <w:rsid w:val="00E66497"/>
    <w:rsid w:val="00E66DFA"/>
    <w:rsid w:val="00E70EF5"/>
    <w:rsid w:val="00E71245"/>
    <w:rsid w:val="00E76BD6"/>
    <w:rsid w:val="00E82F0E"/>
    <w:rsid w:val="00E90644"/>
    <w:rsid w:val="00E9292D"/>
    <w:rsid w:val="00E93505"/>
    <w:rsid w:val="00E95F89"/>
    <w:rsid w:val="00E96FAC"/>
    <w:rsid w:val="00EA129F"/>
    <w:rsid w:val="00EA1CAA"/>
    <w:rsid w:val="00EA3F39"/>
    <w:rsid w:val="00EA46CC"/>
    <w:rsid w:val="00EA48AA"/>
    <w:rsid w:val="00EB07A3"/>
    <w:rsid w:val="00EB7A31"/>
    <w:rsid w:val="00EC287C"/>
    <w:rsid w:val="00EC3FDE"/>
    <w:rsid w:val="00ED0582"/>
    <w:rsid w:val="00ED1262"/>
    <w:rsid w:val="00ED4B64"/>
    <w:rsid w:val="00ED7374"/>
    <w:rsid w:val="00ED765A"/>
    <w:rsid w:val="00EE12FE"/>
    <w:rsid w:val="00EE31F6"/>
    <w:rsid w:val="00EE36DC"/>
    <w:rsid w:val="00EE40C6"/>
    <w:rsid w:val="00EF47B8"/>
    <w:rsid w:val="00F00071"/>
    <w:rsid w:val="00F044EE"/>
    <w:rsid w:val="00F04B03"/>
    <w:rsid w:val="00F06C93"/>
    <w:rsid w:val="00F073AD"/>
    <w:rsid w:val="00F16065"/>
    <w:rsid w:val="00F20A3B"/>
    <w:rsid w:val="00F2157F"/>
    <w:rsid w:val="00F25B1B"/>
    <w:rsid w:val="00F32201"/>
    <w:rsid w:val="00F32F9E"/>
    <w:rsid w:val="00F3320B"/>
    <w:rsid w:val="00F40E92"/>
    <w:rsid w:val="00F41947"/>
    <w:rsid w:val="00F41DEB"/>
    <w:rsid w:val="00F435AA"/>
    <w:rsid w:val="00F43A2F"/>
    <w:rsid w:val="00F45290"/>
    <w:rsid w:val="00F46168"/>
    <w:rsid w:val="00F6611E"/>
    <w:rsid w:val="00F67646"/>
    <w:rsid w:val="00F71846"/>
    <w:rsid w:val="00F75698"/>
    <w:rsid w:val="00F76C6A"/>
    <w:rsid w:val="00F83BF1"/>
    <w:rsid w:val="00F856C4"/>
    <w:rsid w:val="00F869C3"/>
    <w:rsid w:val="00F90CB9"/>
    <w:rsid w:val="00F93E08"/>
    <w:rsid w:val="00F96C69"/>
    <w:rsid w:val="00F97373"/>
    <w:rsid w:val="00F97F03"/>
    <w:rsid w:val="00FA0254"/>
    <w:rsid w:val="00FA6854"/>
    <w:rsid w:val="00FB01B9"/>
    <w:rsid w:val="00FB064F"/>
    <w:rsid w:val="00FB0F6B"/>
    <w:rsid w:val="00FB144F"/>
    <w:rsid w:val="00FB159A"/>
    <w:rsid w:val="00FB4D77"/>
    <w:rsid w:val="00FB5719"/>
    <w:rsid w:val="00FB7BBA"/>
    <w:rsid w:val="00FC007A"/>
    <w:rsid w:val="00FC497D"/>
    <w:rsid w:val="00FC7510"/>
    <w:rsid w:val="00FD076B"/>
    <w:rsid w:val="00FD15D2"/>
    <w:rsid w:val="00FD70F1"/>
    <w:rsid w:val="00FE1986"/>
    <w:rsid w:val="00FE231B"/>
    <w:rsid w:val="00FE43D5"/>
    <w:rsid w:val="00FF1EC5"/>
    <w:rsid w:val="00FF271F"/>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22740B3"/>
  <w15:docId w15:val="{509AB9B6-0176-4197-8827-1F27648A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semiHidden/>
    <w:unhideWhenUsed/>
    <w:rsid w:val="00567D57"/>
    <w:rPr>
      <w:sz w:val="20"/>
      <w:szCs w:val="20"/>
    </w:rPr>
  </w:style>
  <w:style w:type="character" w:customStyle="1" w:styleId="KommentartextZchn">
    <w:name w:val="Kommentartext Zchn"/>
    <w:basedOn w:val="Absatz-Standardschriftart"/>
    <w:link w:val="Kommentartext"/>
    <w:uiPriority w:val="99"/>
    <w:semiHidden/>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 w:type="table" w:customStyle="1" w:styleId="TableGrid1">
    <w:name w:val="Table Grid1"/>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rossmann-berger.de/en/privac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ermanpropertypartners.de/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e@grossmann-berger.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eug-immobilien.de/privat-immobilien" TargetMode="External"/><Relationship Id="rId5" Type="http://schemas.openxmlformats.org/officeDocument/2006/relationships/webSettings" Target="webSettings.xml"/><Relationship Id="rId15" Type="http://schemas.openxmlformats.org/officeDocument/2006/relationships/hyperlink" Target="https://www.grossmann-berger.de/en/company/press-portfolio/terms-of-use-for-press-material" TargetMode="External"/><Relationship Id="rId10" Type="http://schemas.openxmlformats.org/officeDocument/2006/relationships/hyperlink" Target="https://en.eug-immobilien.de/gewerbe-immobili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rossmann-berger.de/en/well-informed/market-reports-and-price-trends" TargetMode="External"/><Relationship Id="rId14" Type="http://schemas.openxmlformats.org/officeDocument/2006/relationships/hyperlink" Target="https://www.grossmann-berger.de/en/company/press-portfolio"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D7D65-1B3E-4F48-A829-07F5BB50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5087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Katharina Koester</cp:lastModifiedBy>
  <cp:revision>2</cp:revision>
  <cp:lastPrinted>2022-10-23T13:42:00Z</cp:lastPrinted>
  <dcterms:created xsi:type="dcterms:W3CDTF">2022-10-24T10:27:00Z</dcterms:created>
  <dcterms:modified xsi:type="dcterms:W3CDTF">2022-10-24T10:27:00Z</dcterms:modified>
</cp:coreProperties>
</file>