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FF363" w14:textId="00054FA8" w:rsidR="001E1172" w:rsidRPr="000E7E42" w:rsidRDefault="003A22D7" w:rsidP="001E1172">
      <w:pPr>
        <w:spacing w:after="0" w:line="360" w:lineRule="auto"/>
        <w:rPr>
          <w:rFonts w:ascii="Arial" w:hAnsi="Arial" w:cs="Arial"/>
          <w:b/>
          <w:sz w:val="28"/>
          <w:szCs w:val="28"/>
        </w:rPr>
      </w:pPr>
      <w:r w:rsidRPr="000E7E42">
        <w:rPr>
          <w:rFonts w:ascii="Arial" w:hAnsi="Arial"/>
          <w:b/>
        </w:rPr>
        <w:t>Hamburg: I</w:t>
      </w:r>
      <w:r w:rsidR="000E7E42" w:rsidRPr="000E7E42">
        <w:rPr>
          <w:rFonts w:ascii="Arial" w:hAnsi="Arial"/>
          <w:b/>
        </w:rPr>
        <w:t>ndustrial and logistics properties</w:t>
      </w:r>
      <w:r w:rsidRPr="000E7E42">
        <w:rPr>
          <w:rFonts w:ascii="Arial" w:hAnsi="Arial"/>
          <w:b/>
        </w:rPr>
        <w:t xml:space="preserve"> market, 1st-4th quarters</w:t>
      </w:r>
      <w:r w:rsidR="000E7E42" w:rsidRPr="000E7E42">
        <w:rPr>
          <w:rFonts w:ascii="Arial" w:hAnsi="Arial"/>
          <w:b/>
        </w:rPr>
        <w:t>,</w:t>
      </w:r>
      <w:r w:rsidRPr="000E7E42">
        <w:rPr>
          <w:rFonts w:ascii="Arial" w:hAnsi="Arial"/>
          <w:b/>
        </w:rPr>
        <w:t xml:space="preserve"> 2022</w:t>
      </w:r>
      <w:r w:rsidRPr="000E7E42">
        <w:rPr>
          <w:rFonts w:ascii="Arial" w:hAnsi="Arial"/>
          <w:b/>
        </w:rPr>
        <w:br/>
      </w:r>
      <w:proofErr w:type="gramStart"/>
      <w:r w:rsidRPr="000E7E42">
        <w:rPr>
          <w:rFonts w:ascii="Arial" w:hAnsi="Arial"/>
          <w:b/>
          <w:sz w:val="28"/>
          <w:szCs w:val="28"/>
        </w:rPr>
        <w:t>Same</w:t>
      </w:r>
      <w:proofErr w:type="gramEnd"/>
      <w:r w:rsidRPr="000E7E42">
        <w:rPr>
          <w:rFonts w:ascii="Arial" w:hAnsi="Arial"/>
          <w:b/>
          <w:sz w:val="28"/>
          <w:szCs w:val="28"/>
        </w:rPr>
        <w:t xml:space="preserve"> pattern throughout 2022: dwindling availability, rising rents</w:t>
      </w:r>
    </w:p>
    <w:p w14:paraId="5188EF63" w14:textId="77777777" w:rsidR="00590903" w:rsidRPr="00340421" w:rsidRDefault="00590903" w:rsidP="00590903">
      <w:pPr>
        <w:spacing w:after="0" w:line="360" w:lineRule="auto"/>
        <w:jc w:val="both"/>
        <w:rPr>
          <w:rFonts w:ascii="Arial" w:hAnsi="Arial" w:cs="Arial"/>
          <w:b/>
          <w:sz w:val="20"/>
          <w:szCs w:val="20"/>
        </w:rPr>
      </w:pPr>
    </w:p>
    <w:p w14:paraId="0D547B51" w14:textId="7B0D2C65" w:rsidR="009A3457" w:rsidRPr="00F2157F" w:rsidRDefault="000F726E" w:rsidP="00282986">
      <w:pPr>
        <w:spacing w:after="0" w:line="360" w:lineRule="auto"/>
        <w:rPr>
          <w:rFonts w:ascii="Arial" w:hAnsi="Arial" w:cs="Arial"/>
          <w:sz w:val="20"/>
          <w:szCs w:val="20"/>
        </w:rPr>
      </w:pPr>
      <w:r>
        <w:rPr>
          <w:rFonts w:ascii="Arial" w:hAnsi="Arial"/>
          <w:b/>
          <w:sz w:val="20"/>
          <w:szCs w:val="20"/>
        </w:rPr>
        <w:t>Hamburg</w:t>
      </w:r>
      <w:r w:rsidR="000E7E42">
        <w:rPr>
          <w:rFonts w:ascii="Arial" w:hAnsi="Arial"/>
          <w:b/>
          <w:sz w:val="20"/>
          <w:szCs w:val="20"/>
        </w:rPr>
        <w:t>,</w:t>
      </w:r>
      <w:r>
        <w:rPr>
          <w:rFonts w:ascii="Arial" w:hAnsi="Arial"/>
          <w:b/>
          <w:sz w:val="20"/>
          <w:szCs w:val="20"/>
        </w:rPr>
        <w:t xml:space="preserve"> 26 January 2023</w:t>
      </w:r>
      <w:r>
        <w:rPr>
          <w:rFonts w:ascii="Arial" w:hAnsi="Arial"/>
          <w:sz w:val="20"/>
          <w:szCs w:val="20"/>
        </w:rPr>
        <w:t xml:space="preserve"> – Take-up of industrial and logistics space in Hamburg and the environs closed the year at 525,000 m² and was thus higher than the ten-year average (507,300 m²) but at the same time 17 % lower than the record result of 2021. Agreements for more than 10,001 m² of space were the defining feature of the market. This size category accounted for 62 % of total take-up. </w:t>
      </w:r>
      <w:r>
        <w:rPr>
          <w:rFonts w:ascii="Arial" w:hAnsi="Arial"/>
          <w:i/>
          <w:sz w:val="20"/>
          <w:szCs w:val="20"/>
        </w:rPr>
        <w:t>“Because most of these contracts were signed off-plan in new developments, rents soared to record heights,”</w:t>
      </w:r>
      <w:r>
        <w:rPr>
          <w:rFonts w:ascii="Arial" w:hAnsi="Arial"/>
          <w:sz w:val="20"/>
          <w:szCs w:val="20"/>
        </w:rPr>
        <w:t xml:space="preserve"> says </w:t>
      </w:r>
      <w:r>
        <w:rPr>
          <w:rFonts w:ascii="Arial" w:hAnsi="Arial"/>
          <w:b/>
          <w:sz w:val="20"/>
          <w:szCs w:val="20"/>
        </w:rPr>
        <w:t xml:space="preserve">Felix </w:t>
      </w:r>
      <w:proofErr w:type="spellStart"/>
      <w:r>
        <w:rPr>
          <w:rFonts w:ascii="Arial" w:hAnsi="Arial"/>
          <w:b/>
          <w:sz w:val="20"/>
          <w:szCs w:val="20"/>
        </w:rPr>
        <w:t>Krumreich</w:t>
      </w:r>
      <w:proofErr w:type="spellEnd"/>
      <w:r>
        <w:rPr>
          <w:rFonts w:ascii="Arial" w:hAnsi="Arial"/>
          <w:sz w:val="20"/>
          <w:szCs w:val="20"/>
        </w:rPr>
        <w:t>, consultant for industrial and logistics real estate at Gross</w:t>
      </w:r>
      <w:r w:rsidR="000E7E42">
        <w:rPr>
          <w:rFonts w:ascii="Arial" w:hAnsi="Arial"/>
          <w:sz w:val="20"/>
          <w:szCs w:val="20"/>
        </w:rPr>
        <w:t xml:space="preserve">mann &amp; Berger, a member of GPP. </w:t>
      </w:r>
      <w:r>
        <w:rPr>
          <w:rFonts w:ascii="Arial" w:hAnsi="Arial"/>
          <w:sz w:val="20"/>
          <w:szCs w:val="20"/>
        </w:rPr>
        <w:t xml:space="preserve">Correspondingly, the premium rent rose year on year from €6.40 to €7.50/m²/month. </w:t>
      </w:r>
      <w:r>
        <w:rPr>
          <w:rFonts w:ascii="Arial" w:hAnsi="Arial"/>
          <w:i/>
          <w:sz w:val="20"/>
          <w:szCs w:val="20"/>
        </w:rPr>
        <w:t>“Logistics companies and trading enterprises in Hamburg and the environs still have very well-stocked order books. However, in 2023 they could find it rather difficult to realize plans for expansion or to obtain extra space. The reason is that almost all the space in development projects has already been absorbed. Assuming, of course, that the global parameters remain unchanged.”</w:t>
      </w:r>
      <w:r>
        <w:rPr>
          <w:rFonts w:ascii="Arial" w:hAnsi="Arial"/>
          <w:sz w:val="20"/>
          <w:szCs w:val="20"/>
        </w:rPr>
        <w:t xml:space="preserve"> </w:t>
      </w:r>
    </w:p>
    <w:p w14:paraId="7D0B7770" w14:textId="77777777" w:rsidR="000A5ED1" w:rsidRDefault="000A5ED1" w:rsidP="001E1172">
      <w:pPr>
        <w:spacing w:after="0" w:line="360" w:lineRule="auto"/>
        <w:rPr>
          <w:rFonts w:ascii="Arial" w:hAnsi="Arial" w:cs="Arial"/>
          <w:sz w:val="20"/>
          <w:szCs w:val="20"/>
        </w:rPr>
      </w:pPr>
    </w:p>
    <w:p w14:paraId="3BF1F98D" w14:textId="77777777" w:rsidR="000A5ED1" w:rsidRPr="00FE43D5" w:rsidRDefault="00FE43D5" w:rsidP="006C1DD8">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7850234B" w14:textId="26EB9DFA" w:rsidR="004A4AA9" w:rsidRDefault="009862C9" w:rsidP="005D1236">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At the close of the year a quarter of take-up was attributable to </w:t>
      </w:r>
      <w:r>
        <w:rPr>
          <w:rFonts w:ascii="Arial" w:hAnsi="Arial"/>
          <w:sz w:val="20"/>
          <w:szCs w:val="20"/>
          <w:u w:val="single"/>
        </w:rPr>
        <w:t>owner-occupiers</w:t>
      </w:r>
      <w:r>
        <w:rPr>
          <w:rFonts w:ascii="Arial" w:hAnsi="Arial"/>
          <w:sz w:val="20"/>
          <w:szCs w:val="20"/>
        </w:rPr>
        <w:t xml:space="preserve"> (4Q 2021: 12 %). Four of the 16 owner-occupier agreements were for more than 10,001 m² of space. The largest of these was signed in the 4th quarter when </w:t>
      </w:r>
      <w:proofErr w:type="spellStart"/>
      <w:r>
        <w:rPr>
          <w:rFonts w:ascii="Arial" w:hAnsi="Arial"/>
          <w:sz w:val="20"/>
          <w:szCs w:val="20"/>
        </w:rPr>
        <w:t>Edeka</w:t>
      </w:r>
      <w:proofErr w:type="spellEnd"/>
      <w:r>
        <w:rPr>
          <w:rFonts w:ascii="Arial" w:hAnsi="Arial"/>
          <w:sz w:val="20"/>
          <w:szCs w:val="20"/>
        </w:rPr>
        <w:t xml:space="preserve"> began construction of its new 16,800-square-metre “</w:t>
      </w:r>
      <w:proofErr w:type="spellStart"/>
      <w:r>
        <w:rPr>
          <w:rFonts w:ascii="Arial" w:hAnsi="Arial"/>
          <w:sz w:val="20"/>
          <w:szCs w:val="20"/>
        </w:rPr>
        <w:t>Fruchtkontor</w:t>
      </w:r>
      <w:proofErr w:type="spellEnd"/>
      <w:r>
        <w:rPr>
          <w:rFonts w:ascii="Arial" w:hAnsi="Arial"/>
          <w:sz w:val="20"/>
          <w:szCs w:val="20"/>
        </w:rPr>
        <w:t xml:space="preserve">” fruit trading facility on </w:t>
      </w:r>
      <w:proofErr w:type="spellStart"/>
      <w:r>
        <w:rPr>
          <w:rFonts w:ascii="Arial" w:hAnsi="Arial"/>
          <w:sz w:val="20"/>
          <w:szCs w:val="20"/>
        </w:rPr>
        <w:t>Dessauer</w:t>
      </w:r>
      <w:proofErr w:type="spellEnd"/>
      <w:r>
        <w:rPr>
          <w:rFonts w:ascii="Arial" w:hAnsi="Arial"/>
          <w:sz w:val="20"/>
          <w:szCs w:val="20"/>
        </w:rPr>
        <w:t xml:space="preserve"> </w:t>
      </w:r>
      <w:proofErr w:type="spellStart"/>
      <w:r>
        <w:rPr>
          <w:rFonts w:ascii="Arial" w:hAnsi="Arial"/>
          <w:sz w:val="20"/>
          <w:szCs w:val="20"/>
        </w:rPr>
        <w:t>Strasse</w:t>
      </w:r>
      <w:proofErr w:type="spellEnd"/>
      <w:r>
        <w:rPr>
          <w:rFonts w:ascii="Arial" w:hAnsi="Arial"/>
          <w:sz w:val="20"/>
          <w:szCs w:val="20"/>
        </w:rPr>
        <w:t xml:space="preserve">. At the site on </w:t>
      </w:r>
      <w:proofErr w:type="spellStart"/>
      <w:r>
        <w:rPr>
          <w:rFonts w:ascii="Arial" w:hAnsi="Arial"/>
          <w:sz w:val="20"/>
          <w:szCs w:val="20"/>
        </w:rPr>
        <w:t>Kleiner</w:t>
      </w:r>
      <w:proofErr w:type="spellEnd"/>
      <w:r>
        <w:rPr>
          <w:rFonts w:ascii="Arial" w:hAnsi="Arial"/>
          <w:sz w:val="20"/>
          <w:szCs w:val="20"/>
        </w:rPr>
        <w:t xml:space="preserve"> </w:t>
      </w:r>
      <w:proofErr w:type="spellStart"/>
      <w:r>
        <w:rPr>
          <w:rFonts w:ascii="Arial" w:hAnsi="Arial"/>
          <w:sz w:val="20"/>
          <w:szCs w:val="20"/>
        </w:rPr>
        <w:t>Grasbrook</w:t>
      </w:r>
      <w:proofErr w:type="spellEnd"/>
      <w:r>
        <w:rPr>
          <w:rFonts w:ascii="Arial" w:hAnsi="Arial"/>
          <w:sz w:val="20"/>
          <w:szCs w:val="20"/>
        </w:rPr>
        <w:t xml:space="preserve">, food retailer </w:t>
      </w:r>
      <w:proofErr w:type="spellStart"/>
      <w:r>
        <w:rPr>
          <w:rFonts w:ascii="Arial" w:hAnsi="Arial"/>
          <w:sz w:val="20"/>
          <w:szCs w:val="20"/>
        </w:rPr>
        <w:t>Edeka</w:t>
      </w:r>
      <w:proofErr w:type="spellEnd"/>
      <w:r>
        <w:rPr>
          <w:rFonts w:ascii="Arial" w:hAnsi="Arial"/>
          <w:sz w:val="20"/>
          <w:szCs w:val="20"/>
        </w:rPr>
        <w:t xml:space="preserve"> plans to expand its existing fruit trading hall with the addition of a logistics hub for fresh fruit and vegetables from some 80 different countries and a banana ripening facility.</w:t>
      </w:r>
    </w:p>
    <w:p w14:paraId="47969C7F" w14:textId="3EDE0128" w:rsidR="002578C6" w:rsidRPr="002578C6" w:rsidRDefault="009862C9" w:rsidP="005D1236">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The </w:t>
      </w:r>
      <w:r>
        <w:rPr>
          <w:rFonts w:ascii="Arial" w:hAnsi="Arial"/>
          <w:sz w:val="20"/>
          <w:szCs w:val="20"/>
          <w:u w:val="single"/>
        </w:rPr>
        <w:t>largest rental agreement</w:t>
      </w:r>
      <w:r>
        <w:rPr>
          <w:rFonts w:ascii="Arial" w:hAnsi="Arial"/>
          <w:sz w:val="20"/>
          <w:szCs w:val="20"/>
        </w:rPr>
        <w:t xml:space="preserve"> in the 4th quarter was signed by Airbus to secure 30,000 m² of hall space in the </w:t>
      </w:r>
      <w:proofErr w:type="spellStart"/>
      <w:r>
        <w:rPr>
          <w:rFonts w:ascii="Arial" w:hAnsi="Arial"/>
          <w:sz w:val="20"/>
          <w:szCs w:val="20"/>
        </w:rPr>
        <w:t>Waltershof</w:t>
      </w:r>
      <w:proofErr w:type="spellEnd"/>
      <w:r>
        <w:rPr>
          <w:rFonts w:ascii="Arial" w:hAnsi="Arial"/>
          <w:sz w:val="20"/>
          <w:szCs w:val="20"/>
        </w:rPr>
        <w:t xml:space="preserve"> area of the port (Hamburg South sub-market) close to its manufacturing facility.</w:t>
      </w:r>
    </w:p>
    <w:p w14:paraId="166E57DF" w14:textId="3C3C5FAC" w:rsidR="00537DEF" w:rsidRPr="00537DEF" w:rsidRDefault="0085713A" w:rsidP="005D1236">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From 2021 to 2022 the </w:t>
      </w:r>
      <w:r>
        <w:rPr>
          <w:rFonts w:ascii="Arial" w:hAnsi="Arial"/>
          <w:sz w:val="20"/>
          <w:szCs w:val="20"/>
          <w:u w:val="single"/>
        </w:rPr>
        <w:t>average rent</w:t>
      </w:r>
      <w:r>
        <w:rPr>
          <w:rFonts w:ascii="Arial" w:hAnsi="Arial"/>
          <w:sz w:val="20"/>
          <w:szCs w:val="20"/>
        </w:rPr>
        <w:t xml:space="preserve"> rose by 9.4 % to €5.80/m²/month, an increase dwarfed by the 17.2</w:t>
      </w:r>
      <w:r w:rsidR="002F1D70">
        <w:rPr>
          <w:rFonts w:ascii="Arial" w:hAnsi="Arial"/>
          <w:sz w:val="20"/>
          <w:szCs w:val="20"/>
        </w:rPr>
        <w:t> </w:t>
      </w:r>
      <w:r>
        <w:rPr>
          <w:rFonts w:ascii="Arial" w:hAnsi="Arial"/>
          <w:sz w:val="20"/>
          <w:szCs w:val="20"/>
        </w:rPr>
        <w:t xml:space="preserve">% growth of the </w:t>
      </w:r>
      <w:r>
        <w:rPr>
          <w:rFonts w:ascii="Arial" w:hAnsi="Arial"/>
          <w:sz w:val="20"/>
          <w:szCs w:val="20"/>
          <w:u w:val="single"/>
        </w:rPr>
        <w:t>premium rent</w:t>
      </w:r>
      <w:r>
        <w:rPr>
          <w:rFonts w:ascii="Arial" w:hAnsi="Arial"/>
          <w:sz w:val="20"/>
          <w:szCs w:val="20"/>
        </w:rPr>
        <w:t>.</w:t>
      </w:r>
    </w:p>
    <w:p w14:paraId="4B8D6D7C" w14:textId="5F3AA7A5" w:rsidR="00707260" w:rsidRDefault="0085713A" w:rsidP="001125E9">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In 2022 the retail/wholesale </w:t>
      </w:r>
      <w:r w:rsidRPr="000E7E42">
        <w:rPr>
          <w:rFonts w:ascii="Arial" w:hAnsi="Arial"/>
          <w:sz w:val="20"/>
          <w:szCs w:val="20"/>
          <w:u w:val="single"/>
        </w:rPr>
        <w:t>sector of industry</w:t>
      </w:r>
      <w:r>
        <w:rPr>
          <w:rFonts w:ascii="Arial" w:hAnsi="Arial"/>
          <w:sz w:val="20"/>
          <w:szCs w:val="20"/>
        </w:rPr>
        <w:t xml:space="preserve"> was predominant on the Hamburg market with 50 % of take-up (4Q 2021: 26 %). Companies from this sector accounted for ten of the 16 agreements for more than 10,001 m² of space. Logistics firms made up 33 % of the market (4Q 2021: 47 %).</w:t>
      </w:r>
    </w:p>
    <w:p w14:paraId="2AC05E80" w14:textId="0B2EC5EC" w:rsidR="00E455D7" w:rsidRDefault="002A38F8" w:rsidP="001125E9">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Hamburg South </w:t>
      </w:r>
      <w:r>
        <w:rPr>
          <w:rFonts w:ascii="Arial" w:hAnsi="Arial"/>
          <w:sz w:val="20"/>
          <w:szCs w:val="20"/>
          <w:u w:val="single"/>
        </w:rPr>
        <w:t>sub-market</w:t>
      </w:r>
      <w:r>
        <w:rPr>
          <w:rFonts w:ascii="Arial" w:hAnsi="Arial"/>
          <w:sz w:val="20"/>
          <w:szCs w:val="20"/>
        </w:rPr>
        <w:t xml:space="preserve"> once again posted the biggest share of take-up with 29 % of the market at the end of 2022, following 27 % the year before. Hamburg East and North East Environs followed with 17 % and 15 % </w:t>
      </w:r>
      <w:r w:rsidR="00DA35DF">
        <w:rPr>
          <w:rFonts w:ascii="Arial" w:hAnsi="Arial"/>
          <w:sz w:val="20"/>
          <w:szCs w:val="20"/>
        </w:rPr>
        <w:t xml:space="preserve">of the market respectively. </w:t>
      </w:r>
    </w:p>
    <w:p w14:paraId="2AA58CF8" w14:textId="1C6BB6BE" w:rsidR="00DA35DF" w:rsidRDefault="00DA35DF">
      <w:pPr>
        <w:spacing w:after="0"/>
        <w:rPr>
          <w:rFonts w:ascii="Arial" w:eastAsiaTheme="minorHAnsi" w:hAnsi="Arial" w:cs="Arial"/>
          <w:sz w:val="20"/>
          <w:szCs w:val="20"/>
        </w:rPr>
      </w:pPr>
      <w:r>
        <w:rPr>
          <w:rFonts w:ascii="Arial" w:eastAsiaTheme="minorHAnsi" w:hAnsi="Arial" w:cs="Arial"/>
          <w:sz w:val="20"/>
          <w:szCs w:val="20"/>
        </w:rPr>
        <w:br w:type="page"/>
      </w:r>
    </w:p>
    <w:p w14:paraId="6B4E5FDA" w14:textId="7425E133" w:rsidR="00DA35DF" w:rsidRPr="00DA35DF" w:rsidRDefault="000E7E42" w:rsidP="00DA35DF">
      <w:pPr>
        <w:spacing w:before="60" w:after="60" w:line="360" w:lineRule="auto"/>
        <w:textAlignment w:val="baseline"/>
        <w:rPr>
          <w:rFonts w:ascii="Arial" w:eastAsiaTheme="minorHAnsi" w:hAnsi="Arial" w:cs="Arial"/>
          <w:sz w:val="20"/>
          <w:szCs w:val="20"/>
        </w:rPr>
      </w:pPr>
      <w:r>
        <w:rPr>
          <w:rFonts w:ascii="Arial" w:hAnsi="Arial"/>
          <w:b/>
          <w:noProof/>
          <w:sz w:val="20"/>
          <w:szCs w:val="20"/>
          <w:lang w:val="de-DE" w:eastAsia="de-DE"/>
        </w:rPr>
        <w:lastRenderedPageBreak/>
        <w:drawing>
          <wp:anchor distT="0" distB="0" distL="114300" distR="114300" simplePos="0" relativeHeight="251658240" behindDoc="0" locked="0" layoutInCell="1" allowOverlap="1" wp14:anchorId="2304BCF9" wp14:editId="37D88418">
            <wp:simplePos x="0" y="0"/>
            <wp:positionH relativeFrom="margin">
              <wp:align>right</wp:align>
            </wp:positionH>
            <wp:positionV relativeFrom="paragraph">
              <wp:posOffset>326390</wp:posOffset>
            </wp:positionV>
            <wp:extent cx="2546985" cy="2193290"/>
            <wp:effectExtent l="19050" t="19050" r="24765" b="165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etegrafik für PM_EN.JPG"/>
                    <pic:cNvPicPr/>
                  </pic:nvPicPr>
                  <pic:blipFill>
                    <a:blip r:embed="rId8">
                      <a:extLst>
                        <a:ext uri="{28A0092B-C50C-407E-A947-70E740481C1C}">
                          <a14:useLocalDpi xmlns:a14="http://schemas.microsoft.com/office/drawing/2010/main" val="0"/>
                        </a:ext>
                      </a:extLst>
                    </a:blip>
                    <a:stretch>
                      <a:fillRect/>
                    </a:stretch>
                  </pic:blipFill>
                  <pic:spPr>
                    <a:xfrm>
                      <a:off x="0" y="0"/>
                      <a:ext cx="2546985" cy="219329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tbl>
      <w:tblPr>
        <w:tblStyle w:val="TableGrid2"/>
        <w:tblpPr w:leftFromText="141" w:rightFromText="141" w:vertAnchor="text" w:horzAnchor="margin" w:tblpY="106"/>
        <w:tblW w:w="5524" w:type="dxa"/>
        <w:tblLook w:val="04A0" w:firstRow="1" w:lastRow="0" w:firstColumn="1" w:lastColumn="0" w:noHBand="0" w:noVBand="1"/>
      </w:tblPr>
      <w:tblGrid>
        <w:gridCol w:w="3964"/>
        <w:gridCol w:w="1560"/>
      </w:tblGrid>
      <w:tr w:rsidR="009A3457" w:rsidRPr="006F49D0" w14:paraId="0BAC8A2E" w14:textId="77777777" w:rsidTr="000E7E42">
        <w:trPr>
          <w:trHeight w:val="255"/>
        </w:trPr>
        <w:tc>
          <w:tcPr>
            <w:tcW w:w="3964" w:type="dxa"/>
            <w:shd w:val="clear" w:color="auto" w:fill="1F242B" w:themeFill="accent2"/>
            <w:vAlign w:val="center"/>
          </w:tcPr>
          <w:p w14:paraId="71EBB413" w14:textId="2E5DAAC5" w:rsidR="009A3457" w:rsidRPr="00587FDA" w:rsidRDefault="00587FDA" w:rsidP="000E7E42">
            <w:pPr>
              <w:widowControl w:val="0"/>
              <w:spacing w:before="60" w:after="60"/>
              <w:rPr>
                <w:rFonts w:ascii="Arial" w:hAnsi="Arial" w:cs="Arial"/>
                <w:b/>
                <w:sz w:val="18"/>
                <w:szCs w:val="20"/>
              </w:rPr>
            </w:pPr>
            <w:r>
              <w:rPr>
                <w:rFonts w:ascii="Arial" w:hAnsi="Arial"/>
                <w:b/>
                <w:sz w:val="18"/>
                <w:szCs w:val="20"/>
              </w:rPr>
              <w:t>Industrial</w:t>
            </w:r>
            <w:r w:rsidR="000E7E42">
              <w:rPr>
                <w:rFonts w:ascii="Arial" w:hAnsi="Arial"/>
                <w:b/>
                <w:sz w:val="18"/>
                <w:szCs w:val="20"/>
              </w:rPr>
              <w:t xml:space="preserve"> &amp;</w:t>
            </w:r>
            <w:r>
              <w:rPr>
                <w:rFonts w:ascii="Arial" w:hAnsi="Arial"/>
                <w:b/>
                <w:sz w:val="18"/>
                <w:szCs w:val="20"/>
              </w:rPr>
              <w:t xml:space="preserve"> logistics | Hamburg </w:t>
            </w:r>
            <w:r w:rsidR="000E7E42">
              <w:rPr>
                <w:rFonts w:ascii="Arial" w:hAnsi="Arial"/>
                <w:b/>
                <w:sz w:val="18"/>
                <w:szCs w:val="20"/>
              </w:rPr>
              <w:t>&amp; e</w:t>
            </w:r>
            <w:r>
              <w:rPr>
                <w:rFonts w:ascii="Arial" w:hAnsi="Arial"/>
                <w:b/>
                <w:sz w:val="18"/>
                <w:szCs w:val="20"/>
              </w:rPr>
              <w:t>nvirons</w:t>
            </w:r>
          </w:p>
        </w:tc>
        <w:tc>
          <w:tcPr>
            <w:tcW w:w="1560" w:type="dxa"/>
            <w:shd w:val="clear" w:color="auto" w:fill="1F242B" w:themeFill="accent2"/>
            <w:vAlign w:val="center"/>
          </w:tcPr>
          <w:p w14:paraId="7A683B01" w14:textId="6F882629" w:rsidR="009A3457" w:rsidRPr="004712BA" w:rsidRDefault="00A76566" w:rsidP="009A3457">
            <w:pPr>
              <w:widowControl w:val="0"/>
              <w:spacing w:before="60" w:after="60"/>
              <w:jc w:val="center"/>
              <w:rPr>
                <w:rFonts w:ascii="Arial" w:hAnsi="Arial" w:cs="Arial"/>
                <w:b/>
                <w:sz w:val="18"/>
                <w:szCs w:val="16"/>
              </w:rPr>
            </w:pPr>
            <w:r>
              <w:rPr>
                <w:rFonts w:ascii="Arial" w:hAnsi="Arial"/>
                <w:b/>
                <w:sz w:val="18"/>
                <w:szCs w:val="16"/>
              </w:rPr>
              <w:t>2</w:t>
            </w:r>
            <w:r w:rsidR="00827E35">
              <w:rPr>
                <w:rFonts w:ascii="Arial" w:hAnsi="Arial"/>
                <w:b/>
                <w:sz w:val="18"/>
                <w:szCs w:val="16"/>
              </w:rPr>
              <w:t xml:space="preserve">022 </w:t>
            </w:r>
            <w:r>
              <w:rPr>
                <w:rFonts w:ascii="Arial" w:hAnsi="Arial"/>
                <w:b/>
                <w:sz w:val="18"/>
                <w:szCs w:val="16"/>
              </w:rPr>
              <w:t>Q1-4</w:t>
            </w:r>
          </w:p>
        </w:tc>
      </w:tr>
      <w:tr w:rsidR="009A3457" w:rsidRPr="006F49D0" w14:paraId="70DF3AA6" w14:textId="77777777" w:rsidTr="000E7E42">
        <w:trPr>
          <w:trHeight w:val="255"/>
        </w:trPr>
        <w:tc>
          <w:tcPr>
            <w:tcW w:w="3964" w:type="dxa"/>
            <w:vAlign w:val="center"/>
          </w:tcPr>
          <w:p w14:paraId="753DC114" w14:textId="77777777"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560" w:type="dxa"/>
            <w:vAlign w:val="center"/>
          </w:tcPr>
          <w:p w14:paraId="5D250936" w14:textId="714C28BA" w:rsidR="009A3457" w:rsidRPr="006A554D" w:rsidRDefault="006A554D" w:rsidP="009A3457">
            <w:pPr>
              <w:widowControl w:val="0"/>
              <w:spacing w:before="60" w:after="60"/>
              <w:jc w:val="right"/>
              <w:rPr>
                <w:rFonts w:ascii="Arial" w:hAnsi="Arial" w:cs="Arial"/>
                <w:color w:val="000000" w:themeColor="text1"/>
                <w:sz w:val="18"/>
                <w:szCs w:val="16"/>
              </w:rPr>
            </w:pPr>
            <w:r>
              <w:rPr>
                <w:rFonts w:ascii="Arial" w:hAnsi="Arial"/>
                <w:color w:val="000000" w:themeColor="text1"/>
                <w:sz w:val="18"/>
                <w:szCs w:val="16"/>
              </w:rPr>
              <w:t>525,000</w:t>
            </w:r>
          </w:p>
        </w:tc>
      </w:tr>
      <w:tr w:rsidR="009A3457" w:rsidRPr="006F49D0" w14:paraId="043AFEFC" w14:textId="77777777" w:rsidTr="000E7E42">
        <w:trPr>
          <w:trHeight w:val="255"/>
        </w:trPr>
        <w:tc>
          <w:tcPr>
            <w:tcW w:w="3964" w:type="dxa"/>
            <w:vAlign w:val="center"/>
          </w:tcPr>
          <w:p w14:paraId="3ED9F0EF" w14:textId="77777777" w:rsidR="009A3457" w:rsidRPr="00A7575D" w:rsidRDefault="009A3457" w:rsidP="009A3457">
            <w:pPr>
              <w:widowControl w:val="0"/>
              <w:spacing w:before="60" w:after="6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560" w:type="dxa"/>
            <w:vAlign w:val="center"/>
          </w:tcPr>
          <w:p w14:paraId="49FCD9C4" w14:textId="54F26B5B" w:rsidR="009A3457" w:rsidRPr="006A554D" w:rsidRDefault="008E38C1" w:rsidP="00126EB1">
            <w:pPr>
              <w:widowControl w:val="0"/>
              <w:spacing w:before="60" w:after="60"/>
              <w:jc w:val="right"/>
              <w:rPr>
                <w:rFonts w:ascii="Arial" w:hAnsi="Arial" w:cs="Arial"/>
                <w:color w:val="000000" w:themeColor="text1"/>
                <w:sz w:val="18"/>
                <w:szCs w:val="16"/>
              </w:rPr>
            </w:pPr>
            <w:r>
              <w:rPr>
                <w:rFonts w:ascii="Arial" w:hAnsi="Arial"/>
                <w:color w:val="000000" w:themeColor="text1"/>
                <w:sz w:val="18"/>
                <w:szCs w:val="16"/>
              </w:rPr>
              <w:t>-17</w:t>
            </w:r>
          </w:p>
        </w:tc>
      </w:tr>
      <w:tr w:rsidR="009A3457" w:rsidRPr="006F49D0" w14:paraId="0E732110" w14:textId="77777777" w:rsidTr="000E7E42">
        <w:trPr>
          <w:trHeight w:val="255"/>
        </w:trPr>
        <w:tc>
          <w:tcPr>
            <w:tcW w:w="3964" w:type="dxa"/>
            <w:vAlign w:val="center"/>
          </w:tcPr>
          <w:p w14:paraId="6654C7A9" w14:textId="77777777" w:rsidR="009A3457" w:rsidRPr="009A3457" w:rsidRDefault="009A3457" w:rsidP="009A3457">
            <w:pPr>
              <w:widowControl w:val="0"/>
              <w:spacing w:before="60" w:after="60"/>
              <w:jc w:val="both"/>
              <w:rPr>
                <w:rFonts w:ascii="Arial" w:hAnsi="Arial" w:cs="Arial"/>
                <w:b/>
                <w:sz w:val="18"/>
                <w:szCs w:val="16"/>
              </w:rPr>
            </w:pPr>
            <w:r>
              <w:rPr>
                <w:rFonts w:ascii="Arial" w:hAnsi="Arial"/>
                <w:b/>
                <w:sz w:val="18"/>
                <w:szCs w:val="16"/>
              </w:rPr>
              <w:t>Ratio of owner-occupie</w:t>
            </w:r>
            <w:bookmarkStart w:id="0" w:name="_GoBack"/>
            <w:bookmarkEnd w:id="0"/>
            <w:r>
              <w:rPr>
                <w:rFonts w:ascii="Arial" w:hAnsi="Arial"/>
                <w:b/>
                <w:sz w:val="18"/>
                <w:szCs w:val="16"/>
              </w:rPr>
              <w:t>rs</w:t>
            </w:r>
            <w:r>
              <w:rPr>
                <w:rFonts w:ascii="Arial" w:hAnsi="Arial"/>
                <w:sz w:val="18"/>
                <w:szCs w:val="16"/>
              </w:rPr>
              <w:t xml:space="preserve"> [%]</w:t>
            </w:r>
          </w:p>
        </w:tc>
        <w:tc>
          <w:tcPr>
            <w:tcW w:w="1560" w:type="dxa"/>
            <w:vAlign w:val="center"/>
          </w:tcPr>
          <w:p w14:paraId="5D7C8E7C" w14:textId="325DE45C" w:rsidR="009A3457" w:rsidRPr="006A554D" w:rsidRDefault="006A554D" w:rsidP="009A3457">
            <w:pPr>
              <w:widowControl w:val="0"/>
              <w:spacing w:before="60" w:after="60"/>
              <w:jc w:val="right"/>
              <w:rPr>
                <w:rFonts w:ascii="Arial" w:hAnsi="Arial" w:cs="Arial"/>
                <w:color w:val="000000" w:themeColor="text1"/>
                <w:sz w:val="18"/>
                <w:szCs w:val="16"/>
              </w:rPr>
            </w:pPr>
            <w:r>
              <w:rPr>
                <w:rFonts w:ascii="Arial" w:hAnsi="Arial"/>
                <w:color w:val="000000" w:themeColor="text1"/>
                <w:sz w:val="18"/>
                <w:szCs w:val="16"/>
              </w:rPr>
              <w:t>25</w:t>
            </w:r>
          </w:p>
        </w:tc>
      </w:tr>
      <w:tr w:rsidR="009A3457" w:rsidRPr="006F49D0" w14:paraId="7D6C7858" w14:textId="77777777" w:rsidTr="000E7E42">
        <w:trPr>
          <w:trHeight w:val="255"/>
        </w:trPr>
        <w:tc>
          <w:tcPr>
            <w:tcW w:w="3964" w:type="dxa"/>
            <w:vAlign w:val="center"/>
          </w:tcPr>
          <w:p w14:paraId="71C81982" w14:textId="77777777" w:rsidR="009A3457" w:rsidRPr="00122A77" w:rsidRDefault="009A3457" w:rsidP="009A3457">
            <w:pPr>
              <w:widowControl w:val="0"/>
              <w:spacing w:before="60" w:after="60"/>
              <w:jc w:val="both"/>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560" w:type="dxa"/>
            <w:vAlign w:val="center"/>
          </w:tcPr>
          <w:p w14:paraId="248780FF" w14:textId="70B933BC" w:rsidR="009A3457" w:rsidRPr="006A554D" w:rsidRDefault="008E38C1" w:rsidP="00A76566">
            <w:pPr>
              <w:widowControl w:val="0"/>
              <w:spacing w:before="60" w:after="60"/>
              <w:jc w:val="right"/>
              <w:rPr>
                <w:rFonts w:ascii="Arial" w:hAnsi="Arial" w:cs="Arial"/>
                <w:color w:val="000000" w:themeColor="text1"/>
                <w:sz w:val="18"/>
                <w:szCs w:val="16"/>
              </w:rPr>
            </w:pPr>
            <w:r>
              <w:rPr>
                <w:rFonts w:ascii="Arial" w:hAnsi="Arial"/>
                <w:sz w:val="18"/>
                <w:szCs w:val="16"/>
              </w:rPr>
              <w:t>+12</w:t>
            </w:r>
          </w:p>
        </w:tc>
      </w:tr>
      <w:tr w:rsidR="009A3457" w:rsidRPr="006F49D0" w14:paraId="40BC7CB1" w14:textId="77777777" w:rsidTr="000E7E42">
        <w:trPr>
          <w:trHeight w:val="255"/>
        </w:trPr>
        <w:tc>
          <w:tcPr>
            <w:tcW w:w="3964" w:type="dxa"/>
            <w:vAlign w:val="center"/>
          </w:tcPr>
          <w:p w14:paraId="4551D3A3" w14:textId="77777777"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560" w:type="dxa"/>
            <w:vAlign w:val="center"/>
          </w:tcPr>
          <w:p w14:paraId="6F30DDDE" w14:textId="0CBF62D7" w:rsidR="009A3457" w:rsidRPr="006A554D" w:rsidRDefault="006A554D" w:rsidP="00627692">
            <w:pPr>
              <w:widowControl w:val="0"/>
              <w:spacing w:before="60" w:after="60"/>
              <w:jc w:val="right"/>
              <w:rPr>
                <w:rFonts w:ascii="Arial" w:hAnsi="Arial" w:cs="Arial"/>
                <w:color w:val="000000" w:themeColor="text1"/>
                <w:sz w:val="18"/>
                <w:szCs w:val="16"/>
              </w:rPr>
            </w:pPr>
            <w:r>
              <w:rPr>
                <w:rFonts w:ascii="Arial" w:hAnsi="Arial"/>
                <w:color w:val="000000" w:themeColor="text1"/>
                <w:sz w:val="18"/>
                <w:szCs w:val="16"/>
              </w:rPr>
              <w:t>7.50</w:t>
            </w:r>
          </w:p>
        </w:tc>
      </w:tr>
      <w:tr w:rsidR="009A3457" w14:paraId="74A56634" w14:textId="77777777" w:rsidTr="000E7E42">
        <w:trPr>
          <w:trHeight w:val="255"/>
        </w:trPr>
        <w:tc>
          <w:tcPr>
            <w:tcW w:w="3964" w:type="dxa"/>
            <w:vAlign w:val="center"/>
          </w:tcPr>
          <w:p w14:paraId="1A0873A3" w14:textId="77777777" w:rsidR="009A3457" w:rsidRPr="00A7575D" w:rsidRDefault="009A3457" w:rsidP="009A3457">
            <w:pPr>
              <w:widowControl w:val="0"/>
              <w:spacing w:before="60" w:after="6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560" w:type="dxa"/>
            <w:vAlign w:val="center"/>
          </w:tcPr>
          <w:p w14:paraId="5148E5D1" w14:textId="00C084C3" w:rsidR="009A3457" w:rsidRPr="006A554D" w:rsidRDefault="00E04869" w:rsidP="006A554D">
            <w:pPr>
              <w:widowControl w:val="0"/>
              <w:spacing w:before="60" w:after="60"/>
              <w:jc w:val="right"/>
              <w:rPr>
                <w:rFonts w:ascii="Arial" w:hAnsi="Arial" w:cs="Arial"/>
                <w:color w:val="000000" w:themeColor="text1"/>
                <w:sz w:val="18"/>
                <w:szCs w:val="16"/>
              </w:rPr>
            </w:pPr>
            <w:r>
              <w:rPr>
                <w:rFonts w:ascii="Arial" w:hAnsi="Arial"/>
                <w:color w:val="000000" w:themeColor="text1"/>
                <w:sz w:val="18"/>
                <w:szCs w:val="16"/>
              </w:rPr>
              <w:t>+17.2</w:t>
            </w:r>
          </w:p>
        </w:tc>
      </w:tr>
      <w:tr w:rsidR="009A3457" w:rsidRPr="006F49D0" w14:paraId="12FCA4FB" w14:textId="77777777" w:rsidTr="000E7E42">
        <w:trPr>
          <w:trHeight w:val="255"/>
        </w:trPr>
        <w:tc>
          <w:tcPr>
            <w:tcW w:w="3964" w:type="dxa"/>
            <w:vAlign w:val="center"/>
          </w:tcPr>
          <w:p w14:paraId="084ECC95" w14:textId="77777777"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 xml:space="preserve">Average rent </w:t>
            </w:r>
            <w:r>
              <w:rPr>
                <w:rFonts w:ascii="Arial" w:hAnsi="Arial"/>
                <w:sz w:val="18"/>
                <w:szCs w:val="16"/>
              </w:rPr>
              <w:t>[€/m²/month net of services]</w:t>
            </w:r>
          </w:p>
        </w:tc>
        <w:tc>
          <w:tcPr>
            <w:tcW w:w="1560" w:type="dxa"/>
            <w:vAlign w:val="center"/>
          </w:tcPr>
          <w:p w14:paraId="520B34FD" w14:textId="25D54D85" w:rsidR="009A3457" w:rsidRPr="006A554D" w:rsidRDefault="00D46C16" w:rsidP="00627692">
            <w:pPr>
              <w:widowControl w:val="0"/>
              <w:spacing w:before="60" w:after="60"/>
              <w:jc w:val="right"/>
              <w:rPr>
                <w:rFonts w:ascii="Arial" w:hAnsi="Arial" w:cs="Arial"/>
                <w:color w:val="000000" w:themeColor="text1"/>
                <w:sz w:val="18"/>
                <w:szCs w:val="16"/>
              </w:rPr>
            </w:pPr>
            <w:r>
              <w:rPr>
                <w:rFonts w:ascii="Arial" w:hAnsi="Arial"/>
                <w:color w:val="000000" w:themeColor="text1"/>
                <w:sz w:val="18"/>
                <w:szCs w:val="16"/>
              </w:rPr>
              <w:t>5.80</w:t>
            </w:r>
          </w:p>
        </w:tc>
      </w:tr>
      <w:tr w:rsidR="009A3457" w14:paraId="6162EAD9" w14:textId="77777777" w:rsidTr="000E7E42">
        <w:trPr>
          <w:trHeight w:val="255"/>
        </w:trPr>
        <w:tc>
          <w:tcPr>
            <w:tcW w:w="3964" w:type="dxa"/>
            <w:vAlign w:val="center"/>
          </w:tcPr>
          <w:p w14:paraId="0151E736" w14:textId="77777777" w:rsidR="009A3457" w:rsidRPr="00A7575D" w:rsidRDefault="009A3457" w:rsidP="009A3457">
            <w:pPr>
              <w:widowControl w:val="0"/>
              <w:spacing w:before="60" w:after="6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560" w:type="dxa"/>
            <w:vAlign w:val="center"/>
          </w:tcPr>
          <w:p w14:paraId="3E1FB4AB" w14:textId="134AA652" w:rsidR="009A3457" w:rsidRPr="006A554D" w:rsidRDefault="003F03F9" w:rsidP="006A554D">
            <w:pPr>
              <w:widowControl w:val="0"/>
              <w:spacing w:before="60" w:after="60"/>
              <w:jc w:val="right"/>
              <w:rPr>
                <w:rFonts w:ascii="Arial" w:hAnsi="Arial" w:cs="Arial"/>
                <w:color w:val="000000" w:themeColor="text1"/>
                <w:sz w:val="18"/>
                <w:szCs w:val="16"/>
              </w:rPr>
            </w:pPr>
            <w:r>
              <w:rPr>
                <w:rFonts w:ascii="Arial" w:hAnsi="Arial"/>
                <w:color w:val="000000" w:themeColor="text1"/>
                <w:sz w:val="18"/>
                <w:szCs w:val="16"/>
              </w:rPr>
              <w:t>+9.4</w:t>
            </w:r>
          </w:p>
        </w:tc>
      </w:tr>
      <w:tr w:rsidR="00395ED5" w:rsidRPr="006F49D0" w14:paraId="13A0ED8E" w14:textId="77777777" w:rsidTr="000E7E42">
        <w:trPr>
          <w:trHeight w:val="255"/>
        </w:trPr>
        <w:tc>
          <w:tcPr>
            <w:tcW w:w="3964" w:type="dxa"/>
            <w:vAlign w:val="center"/>
          </w:tcPr>
          <w:p w14:paraId="2AD86D43" w14:textId="77777777" w:rsidR="00395ED5" w:rsidRPr="00D32F4A" w:rsidRDefault="00395ED5" w:rsidP="00395ED5">
            <w:pPr>
              <w:widowControl w:val="0"/>
              <w:spacing w:after="0"/>
              <w:jc w:val="both"/>
              <w:rPr>
                <w:rFonts w:ascii="Arial" w:hAnsi="Arial" w:cs="Arial"/>
                <w:b/>
                <w:sz w:val="18"/>
                <w:szCs w:val="16"/>
              </w:rPr>
            </w:pPr>
            <w:r>
              <w:rPr>
                <w:rFonts w:ascii="Arial" w:hAnsi="Arial"/>
                <w:b/>
                <w:sz w:val="18"/>
                <w:szCs w:val="16"/>
              </w:rPr>
              <w:t>Most popular sub-market</w:t>
            </w:r>
          </w:p>
        </w:tc>
        <w:tc>
          <w:tcPr>
            <w:tcW w:w="1560" w:type="dxa"/>
            <w:vAlign w:val="center"/>
          </w:tcPr>
          <w:p w14:paraId="4BE4626E" w14:textId="7697E8A2" w:rsidR="00395ED5" w:rsidRPr="006A554D" w:rsidRDefault="00723B02" w:rsidP="00395ED5">
            <w:pPr>
              <w:widowControl w:val="0"/>
              <w:spacing w:before="60" w:after="60"/>
              <w:jc w:val="right"/>
              <w:rPr>
                <w:rFonts w:ascii="Arial" w:hAnsi="Arial" w:cs="Arial"/>
                <w:sz w:val="18"/>
                <w:szCs w:val="16"/>
              </w:rPr>
            </w:pPr>
            <w:r>
              <w:rPr>
                <w:rFonts w:ascii="Arial" w:hAnsi="Arial"/>
                <w:sz w:val="18"/>
                <w:szCs w:val="16"/>
              </w:rPr>
              <w:t>Hamburg South</w:t>
            </w:r>
          </w:p>
        </w:tc>
      </w:tr>
      <w:tr w:rsidR="00395ED5" w14:paraId="52AFAC85" w14:textId="77777777" w:rsidTr="000E7E42">
        <w:trPr>
          <w:trHeight w:val="255"/>
        </w:trPr>
        <w:tc>
          <w:tcPr>
            <w:tcW w:w="3964" w:type="dxa"/>
            <w:vAlign w:val="center"/>
          </w:tcPr>
          <w:p w14:paraId="1FC62107" w14:textId="77777777" w:rsidR="00395ED5" w:rsidRPr="00D32F4A" w:rsidRDefault="00395ED5" w:rsidP="00395ED5">
            <w:pPr>
              <w:widowControl w:val="0"/>
              <w:spacing w:after="0"/>
              <w:rPr>
                <w:rFonts w:ascii="Arial" w:hAnsi="Arial" w:cs="Arial"/>
                <w:sz w:val="18"/>
                <w:szCs w:val="16"/>
              </w:rPr>
            </w:pPr>
            <w:r>
              <w:rPr>
                <w:rFonts w:ascii="Arial" w:hAnsi="Arial"/>
                <w:sz w:val="18"/>
                <w:szCs w:val="16"/>
              </w:rPr>
              <w:t>Most popular sub-market [%]</w:t>
            </w:r>
          </w:p>
        </w:tc>
        <w:tc>
          <w:tcPr>
            <w:tcW w:w="1560" w:type="dxa"/>
            <w:vAlign w:val="center"/>
          </w:tcPr>
          <w:p w14:paraId="0EEDC51D" w14:textId="71370E06" w:rsidR="00395ED5" w:rsidRPr="006A554D" w:rsidRDefault="006A554D" w:rsidP="00395ED5">
            <w:pPr>
              <w:widowControl w:val="0"/>
              <w:spacing w:before="60" w:after="60"/>
              <w:jc w:val="right"/>
              <w:rPr>
                <w:rFonts w:ascii="Arial" w:hAnsi="Arial" w:cs="Arial"/>
                <w:sz w:val="18"/>
                <w:szCs w:val="16"/>
              </w:rPr>
            </w:pPr>
            <w:r>
              <w:rPr>
                <w:rFonts w:ascii="Arial" w:hAnsi="Arial"/>
                <w:sz w:val="18"/>
                <w:szCs w:val="16"/>
              </w:rPr>
              <w:t>29</w:t>
            </w:r>
          </w:p>
        </w:tc>
      </w:tr>
      <w:tr w:rsidR="009A3457" w:rsidRPr="006F49D0" w14:paraId="5E737EA1" w14:textId="77777777" w:rsidTr="000E7E42">
        <w:trPr>
          <w:trHeight w:val="255"/>
        </w:trPr>
        <w:tc>
          <w:tcPr>
            <w:tcW w:w="3964" w:type="dxa"/>
            <w:tcBorders>
              <w:bottom w:val="single" w:sz="4" w:space="0" w:color="auto"/>
            </w:tcBorders>
            <w:vAlign w:val="center"/>
          </w:tcPr>
          <w:p w14:paraId="387A52FE" w14:textId="77777777"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Industry with highest turnover</w:t>
            </w:r>
          </w:p>
        </w:tc>
        <w:tc>
          <w:tcPr>
            <w:tcW w:w="1560" w:type="dxa"/>
            <w:tcBorders>
              <w:bottom w:val="single" w:sz="4" w:space="0" w:color="auto"/>
            </w:tcBorders>
            <w:vAlign w:val="center"/>
          </w:tcPr>
          <w:p w14:paraId="47CEAA99" w14:textId="2AD33C40" w:rsidR="009A3457" w:rsidRPr="00827E35" w:rsidRDefault="00827E35" w:rsidP="009A3457">
            <w:pPr>
              <w:widowControl w:val="0"/>
              <w:spacing w:before="60" w:after="60"/>
              <w:jc w:val="right"/>
              <w:rPr>
                <w:rFonts w:ascii="Arial" w:hAnsi="Arial" w:cs="Arial"/>
                <w:sz w:val="18"/>
                <w:szCs w:val="18"/>
              </w:rPr>
            </w:pPr>
            <w:r>
              <w:rPr>
                <w:rFonts w:ascii="Arial" w:hAnsi="Arial"/>
                <w:sz w:val="18"/>
                <w:szCs w:val="18"/>
              </w:rPr>
              <w:t>R</w:t>
            </w:r>
            <w:r w:rsidRPr="00827E35">
              <w:rPr>
                <w:rFonts w:ascii="Arial" w:hAnsi="Arial"/>
                <w:sz w:val="18"/>
                <w:szCs w:val="18"/>
              </w:rPr>
              <w:t>etail/wholesale</w:t>
            </w:r>
          </w:p>
        </w:tc>
      </w:tr>
      <w:tr w:rsidR="009A3457" w:rsidRPr="006F49D0" w14:paraId="6AE22D82" w14:textId="77777777" w:rsidTr="000E7E42">
        <w:trPr>
          <w:trHeight w:val="255"/>
        </w:trPr>
        <w:tc>
          <w:tcPr>
            <w:tcW w:w="3964" w:type="dxa"/>
            <w:tcBorders>
              <w:bottom w:val="single" w:sz="4" w:space="0" w:color="auto"/>
            </w:tcBorders>
            <w:vAlign w:val="center"/>
          </w:tcPr>
          <w:p w14:paraId="0FCDD888" w14:textId="77777777" w:rsidR="009A3457" w:rsidRPr="004712BA" w:rsidRDefault="009A3457" w:rsidP="009A3457">
            <w:pPr>
              <w:widowControl w:val="0"/>
              <w:spacing w:before="60" w:after="60"/>
              <w:jc w:val="both"/>
              <w:rPr>
                <w:rFonts w:ascii="Arial" w:hAnsi="Arial" w:cs="Arial"/>
                <w:b/>
                <w:sz w:val="18"/>
                <w:szCs w:val="16"/>
              </w:rPr>
            </w:pPr>
            <w:r>
              <w:rPr>
                <w:rFonts w:ascii="Arial" w:hAnsi="Arial"/>
                <w:sz w:val="18"/>
                <w:szCs w:val="16"/>
              </w:rPr>
              <w:t>Industry with highest turnover [%]</w:t>
            </w:r>
          </w:p>
        </w:tc>
        <w:tc>
          <w:tcPr>
            <w:tcW w:w="1560" w:type="dxa"/>
            <w:tcBorders>
              <w:bottom w:val="single" w:sz="4" w:space="0" w:color="auto"/>
            </w:tcBorders>
            <w:vAlign w:val="center"/>
          </w:tcPr>
          <w:p w14:paraId="66F89E6A" w14:textId="138784CA" w:rsidR="009A3457" w:rsidRPr="006A554D" w:rsidRDefault="006A554D" w:rsidP="009A3457">
            <w:pPr>
              <w:widowControl w:val="0"/>
              <w:spacing w:before="60" w:after="60"/>
              <w:jc w:val="right"/>
              <w:rPr>
                <w:rFonts w:ascii="Arial" w:hAnsi="Arial" w:cs="Arial"/>
                <w:sz w:val="18"/>
                <w:szCs w:val="16"/>
              </w:rPr>
            </w:pPr>
            <w:r>
              <w:rPr>
                <w:rFonts w:ascii="Arial" w:hAnsi="Arial"/>
                <w:sz w:val="18"/>
                <w:szCs w:val="16"/>
              </w:rPr>
              <w:t>50</w:t>
            </w:r>
          </w:p>
        </w:tc>
      </w:tr>
    </w:tbl>
    <w:p w14:paraId="411FDB89" w14:textId="6EF6263D" w:rsidR="00514293" w:rsidRDefault="002747E2" w:rsidP="000C43E8">
      <w:pPr>
        <w:tabs>
          <w:tab w:val="left" w:pos="1730"/>
        </w:tabs>
        <w:spacing w:after="0" w:line="360" w:lineRule="auto"/>
        <w:rPr>
          <w:rFonts w:ascii="Arial" w:hAnsi="Arial" w:cs="Arial"/>
          <w:b/>
          <w:sz w:val="20"/>
          <w:szCs w:val="20"/>
        </w:rPr>
      </w:pPr>
      <w:r>
        <w:rPr>
          <w:rFonts w:ascii="Arial" w:hAnsi="Arial"/>
          <w:b/>
          <w:sz w:val="20"/>
          <w:szCs w:val="20"/>
        </w:rPr>
        <w:tab/>
      </w:r>
    </w:p>
    <w:p w14:paraId="6E635255" w14:textId="5787BFDD" w:rsidR="000C43E8" w:rsidRDefault="000C43E8" w:rsidP="009A3457">
      <w:pPr>
        <w:spacing w:after="0" w:line="360" w:lineRule="auto"/>
        <w:rPr>
          <w:rFonts w:ascii="Arial" w:hAnsi="Arial" w:cs="Arial"/>
          <w:b/>
          <w:sz w:val="20"/>
          <w:szCs w:val="20"/>
        </w:rPr>
      </w:pPr>
    </w:p>
    <w:p w14:paraId="0DD862D8" w14:textId="77777777" w:rsidR="000E7E42" w:rsidRDefault="000E7E42" w:rsidP="009A3457">
      <w:pPr>
        <w:spacing w:after="0" w:line="360" w:lineRule="auto"/>
        <w:rPr>
          <w:rFonts w:ascii="Arial" w:hAnsi="Arial" w:cs="Arial"/>
          <w:b/>
          <w:sz w:val="20"/>
          <w:szCs w:val="20"/>
        </w:rPr>
      </w:pPr>
    </w:p>
    <w:p w14:paraId="3D316E4A" w14:textId="77777777" w:rsidR="00DA35DF" w:rsidRDefault="00DA35DF" w:rsidP="009A3457">
      <w:pPr>
        <w:spacing w:after="0" w:line="360" w:lineRule="auto"/>
        <w:rPr>
          <w:rFonts w:ascii="Arial" w:hAnsi="Arial" w:cs="Arial"/>
          <w:b/>
          <w:sz w:val="20"/>
          <w:szCs w:val="20"/>
        </w:rPr>
      </w:pPr>
    </w:p>
    <w:p w14:paraId="41A36C5A" w14:textId="34538984" w:rsidR="009A3457" w:rsidRPr="004C4080" w:rsidRDefault="00C36C38" w:rsidP="009A3457">
      <w:pPr>
        <w:spacing w:after="0" w:line="360" w:lineRule="auto"/>
        <w:rPr>
          <w:rFonts w:ascii="Arial" w:hAnsi="Arial" w:cs="Arial"/>
          <w:b/>
          <w:sz w:val="20"/>
          <w:szCs w:val="20"/>
        </w:rPr>
      </w:pPr>
      <w:r>
        <w:rPr>
          <w:rFonts w:ascii="Arial" w:hAnsi="Arial"/>
          <w:b/>
          <w:sz w:val="20"/>
          <w:szCs w:val="20"/>
        </w:rPr>
        <w:t>Selected top transactions | industrial &amp; logistics | Hamburg &amp; environs | 2022 Q1-4</w:t>
      </w:r>
    </w:p>
    <w:tbl>
      <w:tblPr>
        <w:tblStyle w:val="Tabellenraster"/>
        <w:tblpPr w:leftFromText="141" w:rightFromText="141" w:vertAnchor="text" w:horzAnchor="margin" w:tblpY="-23"/>
        <w:tblW w:w="9634" w:type="dxa"/>
        <w:tblLook w:val="04A0" w:firstRow="1" w:lastRow="0" w:firstColumn="1" w:lastColumn="0" w:noHBand="0" w:noVBand="1"/>
      </w:tblPr>
      <w:tblGrid>
        <w:gridCol w:w="1307"/>
        <w:gridCol w:w="2516"/>
        <w:gridCol w:w="2835"/>
        <w:gridCol w:w="1999"/>
        <w:gridCol w:w="977"/>
      </w:tblGrid>
      <w:tr w:rsidR="00C36C38" w:rsidRPr="0017364E" w14:paraId="2FDA1885" w14:textId="77777777" w:rsidTr="00827E35">
        <w:trPr>
          <w:trHeight w:val="542"/>
        </w:trPr>
        <w:tc>
          <w:tcPr>
            <w:tcW w:w="1307" w:type="dxa"/>
            <w:shd w:val="clear" w:color="auto" w:fill="1F242B" w:themeFill="accent2"/>
          </w:tcPr>
          <w:p w14:paraId="35808679" w14:textId="77777777" w:rsidR="00C36C38" w:rsidRPr="00827E35" w:rsidRDefault="00C36C38" w:rsidP="00D11364">
            <w:pPr>
              <w:spacing w:before="60" w:after="60"/>
              <w:jc w:val="center"/>
              <w:rPr>
                <w:rFonts w:ascii="Arial" w:hAnsi="Arial" w:cs="Arial"/>
                <w:b/>
                <w:sz w:val="18"/>
                <w:szCs w:val="18"/>
              </w:rPr>
            </w:pPr>
            <w:r w:rsidRPr="00827E35">
              <w:rPr>
                <w:rFonts w:ascii="Arial" w:hAnsi="Arial"/>
                <w:b/>
                <w:sz w:val="18"/>
                <w:szCs w:val="18"/>
              </w:rPr>
              <w:t>City</w:t>
            </w:r>
          </w:p>
        </w:tc>
        <w:tc>
          <w:tcPr>
            <w:tcW w:w="2516" w:type="dxa"/>
            <w:shd w:val="clear" w:color="auto" w:fill="1F242B" w:themeFill="accent2"/>
          </w:tcPr>
          <w:p w14:paraId="1EB39844" w14:textId="77777777" w:rsidR="00C36C38" w:rsidRPr="00827E35" w:rsidRDefault="00C36C38" w:rsidP="00D11364">
            <w:pPr>
              <w:spacing w:before="60" w:after="60"/>
              <w:jc w:val="center"/>
              <w:rPr>
                <w:rFonts w:ascii="Arial" w:hAnsi="Arial" w:cs="Arial"/>
                <w:b/>
                <w:sz w:val="18"/>
                <w:szCs w:val="18"/>
              </w:rPr>
            </w:pPr>
            <w:r w:rsidRPr="00827E35">
              <w:rPr>
                <w:rFonts w:ascii="Arial" w:hAnsi="Arial"/>
                <w:b/>
                <w:sz w:val="18"/>
                <w:szCs w:val="18"/>
              </w:rPr>
              <w:t>Road/street</w:t>
            </w:r>
          </w:p>
        </w:tc>
        <w:tc>
          <w:tcPr>
            <w:tcW w:w="2835" w:type="dxa"/>
            <w:shd w:val="clear" w:color="auto" w:fill="1F242B" w:themeFill="accent2"/>
          </w:tcPr>
          <w:p w14:paraId="6AE5270B" w14:textId="4B1A2302" w:rsidR="00C36C38" w:rsidRPr="00827E35" w:rsidRDefault="00C36C38" w:rsidP="00D11364">
            <w:pPr>
              <w:spacing w:before="60" w:after="60"/>
              <w:jc w:val="center"/>
              <w:rPr>
                <w:rFonts w:ascii="Arial" w:hAnsi="Arial" w:cs="Arial"/>
                <w:b/>
                <w:sz w:val="18"/>
                <w:szCs w:val="18"/>
              </w:rPr>
            </w:pPr>
            <w:r w:rsidRPr="00827E35">
              <w:rPr>
                <w:rFonts w:ascii="Arial" w:hAnsi="Arial"/>
                <w:b/>
                <w:sz w:val="18"/>
                <w:szCs w:val="18"/>
              </w:rPr>
              <w:t>Property/project</w:t>
            </w:r>
          </w:p>
        </w:tc>
        <w:tc>
          <w:tcPr>
            <w:tcW w:w="1999" w:type="dxa"/>
            <w:shd w:val="clear" w:color="auto" w:fill="1F242B" w:themeFill="accent2"/>
          </w:tcPr>
          <w:p w14:paraId="7417AFA1" w14:textId="1F3BB6A8" w:rsidR="00C36C38" w:rsidRPr="00827E35" w:rsidRDefault="00C36C38" w:rsidP="00D11364">
            <w:pPr>
              <w:spacing w:before="60" w:after="60"/>
              <w:jc w:val="center"/>
              <w:rPr>
                <w:rFonts w:ascii="Arial" w:hAnsi="Arial" w:cs="Arial"/>
                <w:b/>
                <w:sz w:val="18"/>
                <w:szCs w:val="18"/>
              </w:rPr>
            </w:pPr>
            <w:r w:rsidRPr="00827E35">
              <w:rPr>
                <w:rFonts w:ascii="Arial" w:hAnsi="Arial"/>
                <w:b/>
                <w:sz w:val="18"/>
                <w:szCs w:val="18"/>
              </w:rPr>
              <w:t>Tenant/owner-occupier</w:t>
            </w:r>
          </w:p>
        </w:tc>
        <w:tc>
          <w:tcPr>
            <w:tcW w:w="977" w:type="dxa"/>
            <w:shd w:val="clear" w:color="auto" w:fill="1F242B" w:themeFill="accent2"/>
          </w:tcPr>
          <w:p w14:paraId="4BB99D36" w14:textId="2CDCE3C6" w:rsidR="00C36C38" w:rsidRPr="00827E35" w:rsidRDefault="00C36C38" w:rsidP="00D11364">
            <w:pPr>
              <w:spacing w:after="0"/>
              <w:jc w:val="center"/>
              <w:rPr>
                <w:rFonts w:ascii="Arial" w:hAnsi="Arial" w:cs="Arial"/>
                <w:b/>
                <w:sz w:val="18"/>
                <w:szCs w:val="18"/>
              </w:rPr>
            </w:pPr>
            <w:r w:rsidRPr="00827E35">
              <w:rPr>
                <w:rFonts w:ascii="Arial" w:hAnsi="Arial"/>
                <w:b/>
                <w:sz w:val="18"/>
                <w:szCs w:val="18"/>
              </w:rPr>
              <w:t>Floor area</w:t>
            </w:r>
          </w:p>
          <w:p w14:paraId="2AD105D9" w14:textId="77777777" w:rsidR="00C36C38" w:rsidRPr="00827E35" w:rsidRDefault="00627692" w:rsidP="00D11364">
            <w:pPr>
              <w:spacing w:before="60" w:after="60"/>
              <w:jc w:val="center"/>
              <w:rPr>
                <w:rFonts w:ascii="Arial" w:hAnsi="Arial" w:cs="Arial"/>
                <w:sz w:val="18"/>
                <w:szCs w:val="18"/>
              </w:rPr>
            </w:pPr>
            <w:r w:rsidRPr="00827E35">
              <w:rPr>
                <w:rFonts w:ascii="Arial" w:hAnsi="Arial"/>
                <w:sz w:val="18"/>
                <w:szCs w:val="18"/>
              </w:rPr>
              <w:t>[ca. m²]</w:t>
            </w:r>
          </w:p>
        </w:tc>
      </w:tr>
      <w:tr w:rsidR="00D46C16" w:rsidRPr="0017364E" w14:paraId="68A68125" w14:textId="77777777" w:rsidTr="00827E35">
        <w:trPr>
          <w:trHeight w:val="542"/>
        </w:trPr>
        <w:tc>
          <w:tcPr>
            <w:tcW w:w="1307" w:type="dxa"/>
            <w:shd w:val="clear" w:color="auto" w:fill="auto"/>
            <w:vAlign w:val="center"/>
          </w:tcPr>
          <w:p w14:paraId="0D39C9C0" w14:textId="0A1526D6" w:rsidR="00D46C16" w:rsidRPr="00827E35" w:rsidRDefault="00D46C16" w:rsidP="00C36C38">
            <w:pPr>
              <w:spacing w:before="60" w:after="60"/>
              <w:rPr>
                <w:rFonts w:ascii="Arial" w:hAnsi="Arial" w:cs="Arial"/>
                <w:sz w:val="18"/>
                <w:szCs w:val="18"/>
              </w:rPr>
            </w:pPr>
            <w:proofErr w:type="spellStart"/>
            <w:r w:rsidRPr="00827E35">
              <w:rPr>
                <w:rFonts w:ascii="Arial" w:hAnsi="Arial"/>
                <w:sz w:val="18"/>
                <w:szCs w:val="18"/>
              </w:rPr>
              <w:t>Stelle</w:t>
            </w:r>
            <w:proofErr w:type="spellEnd"/>
          </w:p>
        </w:tc>
        <w:tc>
          <w:tcPr>
            <w:tcW w:w="2516" w:type="dxa"/>
            <w:shd w:val="clear" w:color="auto" w:fill="auto"/>
            <w:vAlign w:val="center"/>
          </w:tcPr>
          <w:p w14:paraId="7CFD76F4" w14:textId="244B0EF3" w:rsidR="00D46C16" w:rsidRPr="00827E35" w:rsidRDefault="00D46C16" w:rsidP="00C36C38">
            <w:pPr>
              <w:spacing w:before="60" w:after="60"/>
              <w:rPr>
                <w:rFonts w:ascii="Arial" w:hAnsi="Arial" w:cs="Arial"/>
                <w:sz w:val="18"/>
                <w:szCs w:val="18"/>
              </w:rPr>
            </w:pPr>
            <w:proofErr w:type="spellStart"/>
            <w:r w:rsidRPr="00827E35">
              <w:rPr>
                <w:rFonts w:ascii="Arial" w:hAnsi="Arial"/>
                <w:sz w:val="18"/>
                <w:szCs w:val="18"/>
              </w:rPr>
              <w:t>Harburger</w:t>
            </w:r>
            <w:proofErr w:type="spellEnd"/>
            <w:r w:rsidRPr="00827E35">
              <w:rPr>
                <w:rFonts w:ascii="Arial" w:hAnsi="Arial"/>
                <w:sz w:val="18"/>
                <w:szCs w:val="18"/>
              </w:rPr>
              <w:t xml:space="preserve"> </w:t>
            </w:r>
            <w:proofErr w:type="spellStart"/>
            <w:r w:rsidRPr="00827E35">
              <w:rPr>
                <w:rFonts w:ascii="Arial" w:hAnsi="Arial"/>
                <w:sz w:val="18"/>
                <w:szCs w:val="18"/>
              </w:rPr>
              <w:t>Straße</w:t>
            </w:r>
            <w:proofErr w:type="spellEnd"/>
          </w:p>
        </w:tc>
        <w:tc>
          <w:tcPr>
            <w:tcW w:w="2835" w:type="dxa"/>
            <w:shd w:val="clear" w:color="auto" w:fill="auto"/>
            <w:vAlign w:val="center"/>
          </w:tcPr>
          <w:p w14:paraId="22C9754A" w14:textId="05F23870" w:rsidR="00D46C16" w:rsidRPr="00827E35" w:rsidRDefault="00D46C16" w:rsidP="00BE2424">
            <w:pPr>
              <w:spacing w:before="60" w:after="60"/>
              <w:rPr>
                <w:rFonts w:ascii="Arial" w:hAnsi="Arial" w:cs="Arial"/>
                <w:sz w:val="18"/>
                <w:szCs w:val="18"/>
              </w:rPr>
            </w:pPr>
            <w:r w:rsidRPr="00827E35">
              <w:rPr>
                <w:rFonts w:ascii="Arial" w:hAnsi="Arial"/>
                <w:sz w:val="18"/>
                <w:szCs w:val="18"/>
              </w:rPr>
              <w:t>Logistics centre</w:t>
            </w:r>
          </w:p>
        </w:tc>
        <w:tc>
          <w:tcPr>
            <w:tcW w:w="1999" w:type="dxa"/>
            <w:shd w:val="clear" w:color="auto" w:fill="auto"/>
            <w:vAlign w:val="center"/>
          </w:tcPr>
          <w:p w14:paraId="25A55B18" w14:textId="2F05B5D5" w:rsidR="00D46C16" w:rsidRPr="00827E35" w:rsidRDefault="00D46C16" w:rsidP="00A31B4D">
            <w:pPr>
              <w:spacing w:before="60" w:after="60"/>
              <w:rPr>
                <w:rFonts w:ascii="Arial" w:hAnsi="Arial" w:cs="Arial"/>
                <w:sz w:val="18"/>
                <w:szCs w:val="18"/>
              </w:rPr>
            </w:pPr>
            <w:r w:rsidRPr="00827E35">
              <w:rPr>
                <w:rFonts w:ascii="Arial" w:hAnsi="Arial"/>
                <w:sz w:val="18"/>
                <w:szCs w:val="18"/>
              </w:rPr>
              <w:t>Aldi (owner-occupier)</w:t>
            </w:r>
          </w:p>
        </w:tc>
        <w:tc>
          <w:tcPr>
            <w:tcW w:w="977" w:type="dxa"/>
            <w:shd w:val="clear" w:color="auto" w:fill="auto"/>
            <w:vAlign w:val="center"/>
          </w:tcPr>
          <w:p w14:paraId="53A47EEF" w14:textId="3883FBF6" w:rsidR="00D46C16" w:rsidRPr="00827E35" w:rsidRDefault="00D46C16" w:rsidP="004C4080">
            <w:pPr>
              <w:spacing w:after="0"/>
              <w:jc w:val="center"/>
              <w:rPr>
                <w:rFonts w:ascii="Arial" w:hAnsi="Arial" w:cs="Arial"/>
                <w:sz w:val="18"/>
                <w:szCs w:val="18"/>
              </w:rPr>
            </w:pPr>
            <w:r w:rsidRPr="00827E35">
              <w:rPr>
                <w:rFonts w:ascii="Arial" w:hAnsi="Arial"/>
                <w:sz w:val="18"/>
                <w:szCs w:val="18"/>
              </w:rPr>
              <w:t>42,500</w:t>
            </w:r>
          </w:p>
        </w:tc>
      </w:tr>
      <w:tr w:rsidR="006A554D" w:rsidRPr="0017364E" w14:paraId="0ACB685E" w14:textId="77777777" w:rsidTr="00827E35">
        <w:trPr>
          <w:trHeight w:val="542"/>
        </w:trPr>
        <w:tc>
          <w:tcPr>
            <w:tcW w:w="1307" w:type="dxa"/>
            <w:shd w:val="clear" w:color="auto" w:fill="D9D9D9" w:themeFill="background1" w:themeFillShade="D9"/>
            <w:vAlign w:val="center"/>
          </w:tcPr>
          <w:p w14:paraId="77A55B14" w14:textId="1C6A31B2" w:rsidR="006A554D" w:rsidRPr="00827E35" w:rsidRDefault="006A554D" w:rsidP="00C36C38">
            <w:pPr>
              <w:spacing w:before="60" w:after="60"/>
              <w:rPr>
                <w:rFonts w:ascii="Arial" w:hAnsi="Arial" w:cs="Arial"/>
                <w:sz w:val="18"/>
                <w:szCs w:val="18"/>
              </w:rPr>
            </w:pPr>
            <w:r w:rsidRPr="00827E35">
              <w:rPr>
                <w:rFonts w:ascii="Arial" w:hAnsi="Arial"/>
                <w:sz w:val="18"/>
                <w:szCs w:val="18"/>
              </w:rPr>
              <w:t>Hamburg</w:t>
            </w:r>
          </w:p>
        </w:tc>
        <w:tc>
          <w:tcPr>
            <w:tcW w:w="2516" w:type="dxa"/>
            <w:shd w:val="clear" w:color="auto" w:fill="D9D9D9" w:themeFill="background1" w:themeFillShade="D9"/>
            <w:vAlign w:val="center"/>
          </w:tcPr>
          <w:p w14:paraId="1DA3F598" w14:textId="6E54EAAA" w:rsidR="006A554D" w:rsidRPr="00827E35" w:rsidRDefault="002747E2" w:rsidP="00C36C38">
            <w:pPr>
              <w:spacing w:before="60" w:after="60"/>
              <w:rPr>
                <w:rFonts w:ascii="Arial" w:hAnsi="Arial" w:cs="Arial"/>
                <w:sz w:val="18"/>
                <w:szCs w:val="18"/>
              </w:rPr>
            </w:pPr>
            <w:r w:rsidRPr="00827E35">
              <w:rPr>
                <w:rFonts w:ascii="Arial" w:hAnsi="Arial"/>
                <w:sz w:val="18"/>
                <w:szCs w:val="18"/>
              </w:rPr>
              <w:t>Hamburg South sub-market</w:t>
            </w:r>
          </w:p>
        </w:tc>
        <w:tc>
          <w:tcPr>
            <w:tcW w:w="2835" w:type="dxa"/>
            <w:shd w:val="clear" w:color="auto" w:fill="D9D9D9" w:themeFill="background1" w:themeFillShade="D9"/>
            <w:vAlign w:val="center"/>
          </w:tcPr>
          <w:p w14:paraId="36118E47" w14:textId="3987D2F9" w:rsidR="006A554D" w:rsidRPr="00827E35" w:rsidRDefault="005B5D36" w:rsidP="00BE2424">
            <w:pPr>
              <w:spacing w:before="60" w:after="60"/>
              <w:rPr>
                <w:rFonts w:ascii="Arial" w:hAnsi="Arial" w:cs="Arial"/>
                <w:sz w:val="18"/>
                <w:szCs w:val="18"/>
              </w:rPr>
            </w:pPr>
            <w:r w:rsidRPr="00827E35">
              <w:rPr>
                <w:rFonts w:ascii="Arial" w:hAnsi="Arial"/>
                <w:sz w:val="18"/>
                <w:szCs w:val="18"/>
              </w:rPr>
              <w:t>Existing logistics centre</w:t>
            </w:r>
          </w:p>
        </w:tc>
        <w:tc>
          <w:tcPr>
            <w:tcW w:w="1999" w:type="dxa"/>
            <w:shd w:val="clear" w:color="auto" w:fill="D9D9D9" w:themeFill="background1" w:themeFillShade="D9"/>
            <w:vAlign w:val="center"/>
          </w:tcPr>
          <w:p w14:paraId="5A8C0D43" w14:textId="2D5EE161" w:rsidR="006A554D" w:rsidRPr="00827E35" w:rsidRDefault="006A554D" w:rsidP="00A31B4D">
            <w:pPr>
              <w:spacing w:before="60" w:after="60"/>
              <w:rPr>
                <w:rFonts w:ascii="Arial" w:hAnsi="Arial" w:cs="Arial"/>
                <w:sz w:val="18"/>
                <w:szCs w:val="18"/>
              </w:rPr>
            </w:pPr>
            <w:r w:rsidRPr="00827E35">
              <w:rPr>
                <w:rFonts w:ascii="Arial" w:hAnsi="Arial"/>
                <w:sz w:val="18"/>
                <w:szCs w:val="18"/>
              </w:rPr>
              <w:t>Airbus</w:t>
            </w:r>
          </w:p>
        </w:tc>
        <w:tc>
          <w:tcPr>
            <w:tcW w:w="977" w:type="dxa"/>
            <w:shd w:val="clear" w:color="auto" w:fill="D9D9D9" w:themeFill="background1" w:themeFillShade="D9"/>
            <w:vAlign w:val="center"/>
          </w:tcPr>
          <w:p w14:paraId="49E5AA84" w14:textId="154CA64F" w:rsidR="006A554D" w:rsidRPr="00827E35" w:rsidRDefault="006A554D" w:rsidP="002747E2">
            <w:pPr>
              <w:spacing w:after="0"/>
              <w:jc w:val="center"/>
              <w:rPr>
                <w:rFonts w:ascii="Arial" w:hAnsi="Arial" w:cs="Arial"/>
                <w:sz w:val="18"/>
                <w:szCs w:val="18"/>
              </w:rPr>
            </w:pPr>
            <w:r w:rsidRPr="00827E35">
              <w:rPr>
                <w:rFonts w:ascii="Arial" w:hAnsi="Arial"/>
                <w:sz w:val="18"/>
                <w:szCs w:val="18"/>
              </w:rPr>
              <w:t>30,000</w:t>
            </w:r>
          </w:p>
        </w:tc>
      </w:tr>
      <w:tr w:rsidR="00723B02" w:rsidRPr="0017364E" w14:paraId="69D3244D" w14:textId="77777777" w:rsidTr="00827E35">
        <w:trPr>
          <w:trHeight w:val="542"/>
        </w:trPr>
        <w:tc>
          <w:tcPr>
            <w:tcW w:w="1307" w:type="dxa"/>
            <w:shd w:val="clear" w:color="auto" w:fill="auto"/>
            <w:vAlign w:val="center"/>
          </w:tcPr>
          <w:p w14:paraId="412CEF0C" w14:textId="17CD2BAD" w:rsidR="00723B02" w:rsidRPr="00827E35" w:rsidRDefault="00A76566" w:rsidP="00C36C38">
            <w:pPr>
              <w:spacing w:before="60" w:after="60"/>
              <w:rPr>
                <w:rFonts w:ascii="Arial" w:hAnsi="Arial" w:cs="Arial"/>
                <w:sz w:val="18"/>
                <w:szCs w:val="18"/>
              </w:rPr>
            </w:pPr>
            <w:proofErr w:type="spellStart"/>
            <w:r w:rsidRPr="00827E35">
              <w:rPr>
                <w:rFonts w:ascii="Arial" w:hAnsi="Arial"/>
                <w:sz w:val="18"/>
                <w:szCs w:val="18"/>
              </w:rPr>
              <w:t>Geesthacht</w:t>
            </w:r>
            <w:proofErr w:type="spellEnd"/>
          </w:p>
        </w:tc>
        <w:tc>
          <w:tcPr>
            <w:tcW w:w="2516" w:type="dxa"/>
            <w:shd w:val="clear" w:color="auto" w:fill="auto"/>
            <w:vAlign w:val="center"/>
          </w:tcPr>
          <w:p w14:paraId="73DB82F0" w14:textId="1F538C86" w:rsidR="00192487" w:rsidRPr="00827E35" w:rsidRDefault="00A76566" w:rsidP="00C36C38">
            <w:pPr>
              <w:spacing w:before="60" w:after="60"/>
              <w:rPr>
                <w:rFonts w:ascii="Arial" w:hAnsi="Arial" w:cs="Arial"/>
                <w:sz w:val="18"/>
                <w:szCs w:val="18"/>
              </w:rPr>
            </w:pPr>
            <w:proofErr w:type="spellStart"/>
            <w:r w:rsidRPr="00827E35">
              <w:rPr>
                <w:rFonts w:ascii="Arial" w:hAnsi="Arial"/>
                <w:sz w:val="18"/>
                <w:szCs w:val="18"/>
              </w:rPr>
              <w:t>Düneberger</w:t>
            </w:r>
            <w:proofErr w:type="spellEnd"/>
            <w:r w:rsidRPr="00827E35">
              <w:rPr>
                <w:rFonts w:ascii="Arial" w:hAnsi="Arial"/>
                <w:sz w:val="18"/>
                <w:szCs w:val="18"/>
              </w:rPr>
              <w:t xml:space="preserve"> </w:t>
            </w:r>
            <w:proofErr w:type="spellStart"/>
            <w:r w:rsidRPr="00827E35">
              <w:rPr>
                <w:rFonts w:ascii="Arial" w:hAnsi="Arial"/>
                <w:sz w:val="18"/>
                <w:szCs w:val="18"/>
              </w:rPr>
              <w:t>Strasse</w:t>
            </w:r>
            <w:proofErr w:type="spellEnd"/>
            <w:r w:rsidRPr="00827E35">
              <w:rPr>
                <w:rFonts w:ascii="Arial" w:hAnsi="Arial"/>
                <w:sz w:val="18"/>
                <w:szCs w:val="18"/>
              </w:rPr>
              <w:t xml:space="preserve"> 70</w:t>
            </w:r>
          </w:p>
        </w:tc>
        <w:tc>
          <w:tcPr>
            <w:tcW w:w="2835" w:type="dxa"/>
            <w:shd w:val="clear" w:color="auto" w:fill="auto"/>
            <w:vAlign w:val="center"/>
          </w:tcPr>
          <w:p w14:paraId="473B1A63" w14:textId="16920D9C" w:rsidR="00192487" w:rsidRPr="00827E35" w:rsidRDefault="00ED765A" w:rsidP="00BE2424">
            <w:pPr>
              <w:spacing w:before="60" w:after="60"/>
              <w:rPr>
                <w:rFonts w:ascii="Arial" w:hAnsi="Arial" w:cs="Arial"/>
                <w:sz w:val="18"/>
                <w:szCs w:val="18"/>
              </w:rPr>
            </w:pPr>
            <w:proofErr w:type="spellStart"/>
            <w:r w:rsidRPr="00827E35">
              <w:rPr>
                <w:rFonts w:ascii="Arial" w:hAnsi="Arial"/>
                <w:sz w:val="18"/>
                <w:szCs w:val="18"/>
              </w:rPr>
              <w:t>Norddeutsche</w:t>
            </w:r>
            <w:proofErr w:type="spellEnd"/>
            <w:r w:rsidRPr="00827E35">
              <w:rPr>
                <w:rFonts w:ascii="Arial" w:hAnsi="Arial"/>
                <w:sz w:val="18"/>
                <w:szCs w:val="18"/>
              </w:rPr>
              <w:t xml:space="preserve"> </w:t>
            </w:r>
            <w:proofErr w:type="spellStart"/>
            <w:r w:rsidRPr="00827E35">
              <w:rPr>
                <w:rFonts w:ascii="Arial" w:hAnsi="Arial"/>
                <w:sz w:val="18"/>
                <w:szCs w:val="18"/>
              </w:rPr>
              <w:t>Teppichfabrik</w:t>
            </w:r>
            <w:proofErr w:type="spellEnd"/>
            <w:r w:rsidRPr="00827E35">
              <w:rPr>
                <w:rFonts w:ascii="Arial" w:hAnsi="Arial"/>
                <w:sz w:val="18"/>
                <w:szCs w:val="18"/>
              </w:rPr>
              <w:t xml:space="preserve"> (disused carpet factory)</w:t>
            </w:r>
          </w:p>
        </w:tc>
        <w:tc>
          <w:tcPr>
            <w:tcW w:w="1999" w:type="dxa"/>
            <w:shd w:val="clear" w:color="auto" w:fill="auto"/>
            <w:vAlign w:val="center"/>
          </w:tcPr>
          <w:p w14:paraId="417022B4" w14:textId="2DF01E76" w:rsidR="00723B02" w:rsidRPr="00827E35" w:rsidRDefault="00126EB1" w:rsidP="00A31B4D">
            <w:pPr>
              <w:spacing w:before="60" w:after="60"/>
              <w:rPr>
                <w:rFonts w:ascii="Arial" w:hAnsi="Arial" w:cs="Arial"/>
                <w:sz w:val="18"/>
                <w:szCs w:val="18"/>
              </w:rPr>
            </w:pPr>
            <w:r w:rsidRPr="00827E35">
              <w:rPr>
                <w:rFonts w:ascii="Arial" w:hAnsi="Arial"/>
                <w:sz w:val="18"/>
                <w:szCs w:val="18"/>
              </w:rPr>
              <w:t xml:space="preserve">Pfaff </w:t>
            </w:r>
            <w:proofErr w:type="spellStart"/>
            <w:r w:rsidRPr="00827E35">
              <w:rPr>
                <w:rFonts w:ascii="Arial" w:hAnsi="Arial"/>
                <w:sz w:val="18"/>
                <w:szCs w:val="18"/>
              </w:rPr>
              <w:t>Logistik</w:t>
            </w:r>
            <w:proofErr w:type="spellEnd"/>
          </w:p>
        </w:tc>
        <w:tc>
          <w:tcPr>
            <w:tcW w:w="977" w:type="dxa"/>
            <w:shd w:val="clear" w:color="auto" w:fill="auto"/>
            <w:vAlign w:val="center"/>
          </w:tcPr>
          <w:p w14:paraId="05F02BF6" w14:textId="7B584CBE" w:rsidR="00723B02" w:rsidRPr="00827E35" w:rsidRDefault="00A76566" w:rsidP="004C4080">
            <w:pPr>
              <w:spacing w:after="0"/>
              <w:jc w:val="center"/>
              <w:rPr>
                <w:rFonts w:ascii="Arial" w:hAnsi="Arial" w:cs="Arial"/>
                <w:sz w:val="18"/>
                <w:szCs w:val="18"/>
              </w:rPr>
            </w:pPr>
            <w:r w:rsidRPr="00827E35">
              <w:rPr>
                <w:rFonts w:ascii="Arial" w:hAnsi="Arial"/>
                <w:sz w:val="18"/>
                <w:szCs w:val="18"/>
              </w:rPr>
              <w:t>29,500</w:t>
            </w:r>
          </w:p>
        </w:tc>
      </w:tr>
      <w:tr w:rsidR="00D46C16" w:rsidRPr="0017364E" w14:paraId="1BCBC91F" w14:textId="77777777" w:rsidTr="00827E35">
        <w:trPr>
          <w:trHeight w:val="542"/>
        </w:trPr>
        <w:tc>
          <w:tcPr>
            <w:tcW w:w="1307" w:type="dxa"/>
            <w:shd w:val="clear" w:color="auto" w:fill="auto"/>
            <w:vAlign w:val="center"/>
          </w:tcPr>
          <w:p w14:paraId="01A3BA39" w14:textId="7A34781F" w:rsidR="00D46C16" w:rsidRPr="00827E35" w:rsidRDefault="00D46C16" w:rsidP="00C36C38">
            <w:pPr>
              <w:spacing w:before="60" w:after="60"/>
              <w:rPr>
                <w:rFonts w:ascii="Arial" w:hAnsi="Arial" w:cs="Arial"/>
                <w:sz w:val="18"/>
                <w:szCs w:val="18"/>
              </w:rPr>
            </w:pPr>
            <w:proofErr w:type="spellStart"/>
            <w:r w:rsidRPr="00827E35">
              <w:rPr>
                <w:rFonts w:ascii="Arial" w:hAnsi="Arial"/>
                <w:sz w:val="18"/>
                <w:szCs w:val="18"/>
              </w:rPr>
              <w:t>Kaltenkirchen</w:t>
            </w:r>
            <w:proofErr w:type="spellEnd"/>
          </w:p>
        </w:tc>
        <w:tc>
          <w:tcPr>
            <w:tcW w:w="2516" w:type="dxa"/>
            <w:shd w:val="clear" w:color="auto" w:fill="auto"/>
            <w:vAlign w:val="center"/>
          </w:tcPr>
          <w:p w14:paraId="012BD3DC" w14:textId="0AECD4D0" w:rsidR="00D46C16" w:rsidRPr="00827E35" w:rsidRDefault="00D46C16" w:rsidP="00C36C38">
            <w:pPr>
              <w:spacing w:before="60" w:after="60"/>
              <w:rPr>
                <w:rFonts w:ascii="Arial" w:hAnsi="Arial" w:cs="Arial"/>
                <w:sz w:val="18"/>
                <w:szCs w:val="18"/>
              </w:rPr>
            </w:pPr>
            <w:r w:rsidRPr="00827E35">
              <w:rPr>
                <w:rFonts w:ascii="Arial" w:hAnsi="Arial"/>
                <w:sz w:val="18"/>
                <w:szCs w:val="18"/>
              </w:rPr>
              <w:t>Werner-von-Siemens-Strasse 10</w:t>
            </w:r>
          </w:p>
        </w:tc>
        <w:tc>
          <w:tcPr>
            <w:tcW w:w="2835" w:type="dxa"/>
            <w:shd w:val="clear" w:color="auto" w:fill="auto"/>
            <w:vAlign w:val="center"/>
          </w:tcPr>
          <w:p w14:paraId="096B466A" w14:textId="6B049AD9" w:rsidR="00D46C16" w:rsidRPr="00827E35" w:rsidRDefault="00750125" w:rsidP="00A76566">
            <w:pPr>
              <w:spacing w:before="60" w:after="60"/>
              <w:rPr>
                <w:rFonts w:ascii="Arial" w:hAnsi="Arial" w:cs="Arial"/>
                <w:sz w:val="18"/>
                <w:szCs w:val="18"/>
              </w:rPr>
            </w:pPr>
            <w:r w:rsidRPr="00827E35">
              <w:rPr>
                <w:rFonts w:ascii="Arial" w:hAnsi="Arial"/>
                <w:sz w:val="18"/>
                <w:szCs w:val="18"/>
              </w:rPr>
              <w:t>New build logistics centre</w:t>
            </w:r>
          </w:p>
        </w:tc>
        <w:tc>
          <w:tcPr>
            <w:tcW w:w="1999" w:type="dxa"/>
            <w:shd w:val="clear" w:color="auto" w:fill="auto"/>
            <w:vAlign w:val="center"/>
          </w:tcPr>
          <w:p w14:paraId="737904EA" w14:textId="05BF70CA" w:rsidR="00D46C16" w:rsidRPr="00827E35" w:rsidRDefault="00D46C16" w:rsidP="00C36C38">
            <w:pPr>
              <w:spacing w:before="60" w:after="60"/>
              <w:rPr>
                <w:rFonts w:ascii="Arial" w:hAnsi="Arial" w:cs="Arial"/>
                <w:sz w:val="18"/>
                <w:szCs w:val="18"/>
              </w:rPr>
            </w:pPr>
            <w:r w:rsidRPr="00827E35">
              <w:rPr>
                <w:rFonts w:ascii="Arial" w:hAnsi="Arial"/>
                <w:sz w:val="18"/>
                <w:szCs w:val="18"/>
              </w:rPr>
              <w:t>Picnic</w:t>
            </w:r>
          </w:p>
        </w:tc>
        <w:tc>
          <w:tcPr>
            <w:tcW w:w="977" w:type="dxa"/>
            <w:shd w:val="clear" w:color="auto" w:fill="auto"/>
            <w:vAlign w:val="center"/>
          </w:tcPr>
          <w:p w14:paraId="04BE839D" w14:textId="5584AE62" w:rsidR="00D46C16" w:rsidRPr="00827E35" w:rsidRDefault="00D46C16" w:rsidP="004C4080">
            <w:pPr>
              <w:spacing w:after="0"/>
              <w:jc w:val="center"/>
              <w:rPr>
                <w:rFonts w:ascii="Arial" w:hAnsi="Arial" w:cs="Arial"/>
                <w:sz w:val="18"/>
                <w:szCs w:val="18"/>
              </w:rPr>
            </w:pPr>
            <w:r w:rsidRPr="00827E35">
              <w:rPr>
                <w:rFonts w:ascii="Arial" w:hAnsi="Arial"/>
                <w:sz w:val="18"/>
                <w:szCs w:val="18"/>
              </w:rPr>
              <w:t>25,300</w:t>
            </w:r>
          </w:p>
        </w:tc>
      </w:tr>
      <w:tr w:rsidR="009C5E5C" w:rsidRPr="0017364E" w14:paraId="632D8050" w14:textId="77777777" w:rsidTr="00827E35">
        <w:trPr>
          <w:trHeight w:val="542"/>
        </w:trPr>
        <w:tc>
          <w:tcPr>
            <w:tcW w:w="1307" w:type="dxa"/>
            <w:shd w:val="clear" w:color="auto" w:fill="auto"/>
            <w:vAlign w:val="center"/>
          </w:tcPr>
          <w:p w14:paraId="5CEB731E" w14:textId="3CE99B28" w:rsidR="009C5E5C" w:rsidRPr="00827E35" w:rsidRDefault="00A76566" w:rsidP="00C36C38">
            <w:pPr>
              <w:spacing w:before="60" w:after="60"/>
              <w:rPr>
                <w:rFonts w:ascii="Arial" w:hAnsi="Arial" w:cs="Arial"/>
                <w:sz w:val="18"/>
                <w:szCs w:val="18"/>
              </w:rPr>
            </w:pPr>
            <w:r w:rsidRPr="00827E35">
              <w:rPr>
                <w:rFonts w:ascii="Arial" w:hAnsi="Arial"/>
                <w:sz w:val="18"/>
                <w:szCs w:val="18"/>
              </w:rPr>
              <w:t>Hamburg</w:t>
            </w:r>
          </w:p>
        </w:tc>
        <w:tc>
          <w:tcPr>
            <w:tcW w:w="2516" w:type="dxa"/>
            <w:shd w:val="clear" w:color="auto" w:fill="auto"/>
            <w:vAlign w:val="center"/>
          </w:tcPr>
          <w:p w14:paraId="57281ADF" w14:textId="77777777" w:rsidR="00827E35" w:rsidRDefault="00827E35" w:rsidP="00C36C38">
            <w:pPr>
              <w:spacing w:before="60" w:after="60"/>
              <w:rPr>
                <w:rFonts w:ascii="Arial" w:hAnsi="Arial"/>
                <w:sz w:val="18"/>
                <w:szCs w:val="18"/>
              </w:rPr>
            </w:pPr>
            <w:r>
              <w:rPr>
                <w:rFonts w:ascii="Arial" w:hAnsi="Arial"/>
                <w:sz w:val="18"/>
                <w:szCs w:val="18"/>
              </w:rPr>
              <w:t>Reiherstieg-Hauptdeich</w:t>
            </w:r>
          </w:p>
          <w:p w14:paraId="4FAC26B5" w14:textId="320A7B47" w:rsidR="009C5E5C" w:rsidRPr="00827E35" w:rsidRDefault="001753A7" w:rsidP="00C36C38">
            <w:pPr>
              <w:spacing w:before="60" w:after="60"/>
              <w:rPr>
                <w:rFonts w:ascii="Arial" w:hAnsi="Arial" w:cs="Arial"/>
                <w:sz w:val="18"/>
                <w:szCs w:val="18"/>
              </w:rPr>
            </w:pPr>
            <w:r w:rsidRPr="00827E35">
              <w:rPr>
                <w:rFonts w:ascii="Arial" w:hAnsi="Arial"/>
                <w:sz w:val="18"/>
                <w:szCs w:val="18"/>
              </w:rPr>
              <w:t>39-47</w:t>
            </w:r>
          </w:p>
        </w:tc>
        <w:tc>
          <w:tcPr>
            <w:tcW w:w="2835" w:type="dxa"/>
            <w:shd w:val="clear" w:color="auto" w:fill="auto"/>
            <w:vAlign w:val="center"/>
          </w:tcPr>
          <w:p w14:paraId="1A55BB4F" w14:textId="6B6195C3" w:rsidR="009C5E5C" w:rsidRPr="00827E35" w:rsidRDefault="004C4080" w:rsidP="00A76566">
            <w:pPr>
              <w:spacing w:before="60" w:after="60"/>
              <w:rPr>
                <w:rFonts w:ascii="Arial" w:hAnsi="Arial" w:cs="Arial"/>
                <w:sz w:val="18"/>
                <w:szCs w:val="18"/>
              </w:rPr>
            </w:pPr>
            <w:r w:rsidRPr="00827E35">
              <w:rPr>
                <w:rFonts w:ascii="Arial" w:hAnsi="Arial"/>
                <w:sz w:val="18"/>
                <w:szCs w:val="18"/>
              </w:rPr>
              <w:t xml:space="preserve">“Mach2 / Four </w:t>
            </w:r>
            <w:proofErr w:type="spellStart"/>
            <w:r w:rsidRPr="00827E35">
              <w:rPr>
                <w:rFonts w:ascii="Arial" w:hAnsi="Arial"/>
                <w:sz w:val="18"/>
                <w:szCs w:val="18"/>
              </w:rPr>
              <w:t>Parx</w:t>
            </w:r>
            <w:proofErr w:type="spellEnd"/>
            <w:r w:rsidRPr="00827E35">
              <w:rPr>
                <w:rFonts w:ascii="Arial" w:hAnsi="Arial"/>
                <w:sz w:val="18"/>
                <w:szCs w:val="18"/>
              </w:rPr>
              <w:t xml:space="preserve"> Hamburg”</w:t>
            </w:r>
            <w:r w:rsidRPr="00827E35">
              <w:rPr>
                <w:rFonts w:ascii="Arial" w:hAnsi="Arial"/>
                <w:sz w:val="18"/>
                <w:szCs w:val="18"/>
              </w:rPr>
              <w:br/>
              <w:t>new-build logistics halls</w:t>
            </w:r>
          </w:p>
        </w:tc>
        <w:tc>
          <w:tcPr>
            <w:tcW w:w="1999" w:type="dxa"/>
            <w:shd w:val="clear" w:color="auto" w:fill="auto"/>
            <w:vAlign w:val="center"/>
          </w:tcPr>
          <w:p w14:paraId="65FF7919" w14:textId="505E0793" w:rsidR="009C5E5C" w:rsidRPr="00827E35" w:rsidRDefault="00126EB1" w:rsidP="00C36C38">
            <w:pPr>
              <w:spacing w:before="60" w:after="60"/>
              <w:rPr>
                <w:rFonts w:ascii="Arial" w:hAnsi="Arial" w:cs="Arial"/>
                <w:sz w:val="18"/>
                <w:szCs w:val="18"/>
              </w:rPr>
            </w:pPr>
            <w:r w:rsidRPr="00827E35">
              <w:rPr>
                <w:rFonts w:ascii="Arial" w:hAnsi="Arial"/>
                <w:sz w:val="18"/>
                <w:szCs w:val="18"/>
              </w:rPr>
              <w:t>JYSK</w:t>
            </w:r>
          </w:p>
        </w:tc>
        <w:tc>
          <w:tcPr>
            <w:tcW w:w="977" w:type="dxa"/>
            <w:shd w:val="clear" w:color="auto" w:fill="auto"/>
            <w:vAlign w:val="center"/>
          </w:tcPr>
          <w:p w14:paraId="14D5A527" w14:textId="2578732F" w:rsidR="009C5E5C" w:rsidRPr="00827E35" w:rsidRDefault="006A608F" w:rsidP="004C4080">
            <w:pPr>
              <w:spacing w:after="0"/>
              <w:jc w:val="center"/>
              <w:rPr>
                <w:rFonts w:ascii="Arial" w:hAnsi="Arial" w:cs="Arial"/>
                <w:sz w:val="18"/>
                <w:szCs w:val="18"/>
              </w:rPr>
            </w:pPr>
            <w:r w:rsidRPr="00827E35">
              <w:rPr>
                <w:rFonts w:ascii="Arial" w:hAnsi="Arial"/>
                <w:sz w:val="18"/>
                <w:szCs w:val="18"/>
              </w:rPr>
              <w:t>24,000</w:t>
            </w:r>
          </w:p>
        </w:tc>
      </w:tr>
    </w:tbl>
    <w:p w14:paraId="025D18C3" w14:textId="34B973F3" w:rsidR="008E38C1" w:rsidRPr="00154797" w:rsidRDefault="00827E35" w:rsidP="008E38C1">
      <w:pPr>
        <w:spacing w:after="0" w:line="360" w:lineRule="auto"/>
        <w:rPr>
          <w:rFonts w:ascii="Arial" w:eastAsia="Arial" w:hAnsi="Arial" w:cs="Arial"/>
          <w:color w:val="000000" w:themeColor="text1"/>
          <w:sz w:val="16"/>
          <w:szCs w:val="16"/>
        </w:rPr>
      </w:pPr>
      <w:r>
        <w:rPr>
          <w:rFonts w:ascii="Arial" w:hAnsi="Arial"/>
          <w:color w:val="000000" w:themeColor="text1"/>
          <w:sz w:val="16"/>
          <w:szCs w:val="16"/>
        </w:rPr>
        <w:t>New agreements are highlighted</w:t>
      </w:r>
    </w:p>
    <w:p w14:paraId="66526736" w14:textId="77777777" w:rsidR="008E38C1" w:rsidRDefault="008E38C1" w:rsidP="00587FDA">
      <w:pPr>
        <w:spacing w:after="0" w:line="360" w:lineRule="auto"/>
        <w:rPr>
          <w:rFonts w:ascii="Arial" w:eastAsia="Arial" w:hAnsi="Arial" w:cs="Arial"/>
          <w:color w:val="000000" w:themeColor="text1"/>
          <w:sz w:val="20"/>
          <w:szCs w:val="20"/>
        </w:rPr>
      </w:pPr>
    </w:p>
    <w:p w14:paraId="75C7E3C4" w14:textId="602D71A8" w:rsidR="006E5C9C" w:rsidRDefault="00A76566" w:rsidP="00587FDA">
      <w:pPr>
        <w:spacing w:after="0" w:line="360" w:lineRule="auto"/>
        <w:rPr>
          <w:rFonts w:ascii="Arial" w:hAnsi="Arial" w:cs="Arial"/>
          <w:b/>
          <w:sz w:val="16"/>
          <w:szCs w:val="16"/>
        </w:rPr>
      </w:pPr>
      <w:r>
        <w:rPr>
          <w:rFonts w:ascii="Arial" w:hAnsi="Arial"/>
          <w:sz w:val="20"/>
          <w:szCs w:val="20"/>
        </w:rPr>
        <w:t xml:space="preserve">Our </w:t>
      </w:r>
      <w:hyperlink r:id="rId9" w:history="1">
        <w:r w:rsidR="00827E35" w:rsidRPr="00827E35">
          <w:rPr>
            <w:rStyle w:val="Hyperlink"/>
            <w:rFonts w:ascii="Arial" w:hAnsi="Arial"/>
            <w:sz w:val="20"/>
            <w:szCs w:val="20"/>
          </w:rPr>
          <w:t>Market s</w:t>
        </w:r>
        <w:r w:rsidRPr="00827E35">
          <w:rPr>
            <w:rStyle w:val="Hyperlink"/>
            <w:rFonts w:ascii="Arial" w:hAnsi="Arial"/>
            <w:sz w:val="20"/>
            <w:szCs w:val="20"/>
          </w:rPr>
          <w:t xml:space="preserve">urvey </w:t>
        </w:r>
        <w:r w:rsidR="00827E35" w:rsidRPr="00827E35">
          <w:rPr>
            <w:rStyle w:val="Hyperlink"/>
            <w:rFonts w:ascii="Arial" w:hAnsi="Arial"/>
            <w:sz w:val="20"/>
            <w:szCs w:val="20"/>
          </w:rPr>
          <w:t>industrial &amp; l</w:t>
        </w:r>
        <w:r w:rsidRPr="00827E35">
          <w:rPr>
            <w:rStyle w:val="Hyperlink"/>
            <w:rFonts w:ascii="Arial" w:hAnsi="Arial"/>
            <w:sz w:val="20"/>
            <w:szCs w:val="20"/>
          </w:rPr>
          <w:t>ogistics Hamburg 2022/Q4</w:t>
        </w:r>
      </w:hyperlink>
      <w:r>
        <w:rPr>
          <w:rFonts w:ascii="Arial" w:hAnsi="Arial"/>
          <w:color w:val="000000" w:themeColor="text1"/>
          <w:sz w:val="20"/>
          <w:szCs w:val="20"/>
        </w:rPr>
        <w:t xml:space="preserve"> in PDF format </w:t>
      </w:r>
      <w:r w:rsidR="00827E35">
        <w:rPr>
          <w:rFonts w:ascii="Arial" w:hAnsi="Arial"/>
          <w:color w:val="000000" w:themeColor="text1"/>
          <w:sz w:val="20"/>
          <w:szCs w:val="20"/>
        </w:rPr>
        <w:t>will shortly be</w:t>
      </w:r>
      <w:r>
        <w:rPr>
          <w:rFonts w:ascii="Arial" w:hAnsi="Arial"/>
          <w:color w:val="000000" w:themeColor="text1"/>
          <w:sz w:val="20"/>
          <w:szCs w:val="20"/>
        </w:rPr>
        <w:t xml:space="preserve"> available to download from our website.</w:t>
      </w:r>
    </w:p>
    <w:p w14:paraId="1079D55C" w14:textId="77777777" w:rsidR="00514293" w:rsidRDefault="00514293" w:rsidP="00587FDA">
      <w:pPr>
        <w:spacing w:after="0" w:line="360" w:lineRule="auto"/>
        <w:rPr>
          <w:rFonts w:ascii="Arial" w:hAnsi="Arial" w:cs="Arial"/>
          <w:b/>
          <w:sz w:val="16"/>
          <w:szCs w:val="16"/>
        </w:rPr>
      </w:pPr>
    </w:p>
    <w:p w14:paraId="2941247D" w14:textId="77777777" w:rsidR="00827E35" w:rsidRPr="0090748B" w:rsidRDefault="00827E35" w:rsidP="00827E35">
      <w:pPr>
        <w:spacing w:after="0" w:line="360" w:lineRule="auto"/>
        <w:rPr>
          <w:rFonts w:ascii="Arial" w:hAnsi="Arial" w:cs="Arial"/>
          <w:b/>
          <w:sz w:val="16"/>
          <w:szCs w:val="16"/>
        </w:rPr>
      </w:pPr>
      <w:r>
        <w:rPr>
          <w:rFonts w:ascii="Arial" w:hAnsi="Arial"/>
          <w:b/>
          <w:sz w:val="16"/>
          <w:szCs w:val="16"/>
        </w:rPr>
        <w:t>About Grossmann &amp; Berger</w:t>
      </w:r>
    </w:p>
    <w:p w14:paraId="43219B16" w14:textId="77777777" w:rsidR="00827E35" w:rsidRPr="00521AA1" w:rsidRDefault="00827E35" w:rsidP="00827E35">
      <w:pPr>
        <w:spacing w:after="0" w:line="360" w:lineRule="auto"/>
        <w:rPr>
          <w:rFonts w:ascii="Arial" w:hAnsi="Arial" w:cs="Arial"/>
          <w:vanish/>
          <w:sz w:val="16"/>
          <w:szCs w:val="16"/>
          <w:specVanish/>
        </w:rPr>
      </w:pPr>
      <w:hyperlink r:id="rId10" w:history="1">
        <w:r>
          <w:rPr>
            <w:rStyle w:val="Hyperlink"/>
            <w:rFonts w:ascii="Arial" w:hAnsi="Arial"/>
            <w:snapToGrid w:val="0"/>
            <w:sz w:val="16"/>
            <w:szCs w:val="16"/>
          </w:rPr>
          <w:t>Grossmann &amp; Berger GmbH</w:t>
        </w:r>
      </w:hyperlink>
      <w:r>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1" w:history="1">
        <w:r>
          <w:rPr>
            <w:rStyle w:val="Hyperlink"/>
            <w:rFonts w:ascii="Arial" w:hAnsi="Arial"/>
            <w:snapToGrid w:val="0"/>
            <w:sz w:val="16"/>
            <w:szCs w:val="16"/>
          </w:rPr>
          <w:t>E &amp; G Real Estate</w:t>
        </w:r>
      </w:hyperlink>
      <w:r>
        <w:rPr>
          <w:rFonts w:ascii="Arial" w:hAnsi="Arial"/>
          <w:snapToGrid w:val="0"/>
          <w:sz w:val="16"/>
          <w:szCs w:val="16"/>
        </w:rPr>
        <w:t xml:space="preserve"> and</w:t>
      </w:r>
      <w:r>
        <w:rPr>
          <w:rFonts w:ascii="Arial" w:hAnsi="Arial"/>
          <w:snapToGrid w:val="0"/>
          <w:sz w:val="16"/>
          <w:szCs w:val="16"/>
        </w:rPr>
        <w:br/>
      </w:r>
      <w:hyperlink r:id="rId12" w:history="1">
        <w:r>
          <w:rPr>
            <w:rStyle w:val="Hyperlink"/>
            <w:rFonts w:ascii="Arial" w:hAnsi="Arial"/>
            <w:snapToGrid w:val="0"/>
            <w:sz w:val="16"/>
            <w:szCs w:val="16"/>
          </w:rPr>
          <w:t xml:space="preserve">E &amp; G Private </w:t>
        </w:r>
        <w:proofErr w:type="spellStart"/>
        <w:r>
          <w:rPr>
            <w:rStyle w:val="Hyperlink"/>
            <w:rFonts w:ascii="Arial" w:hAnsi="Arial"/>
            <w:snapToGrid w:val="0"/>
            <w:sz w:val="16"/>
            <w:szCs w:val="16"/>
          </w:rPr>
          <w:t>Immobilien</w:t>
        </w:r>
        <w:proofErr w:type="spellEnd"/>
      </w:hyperlink>
      <w:r>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Pr>
          <w:rFonts w:ascii="Arial" w:hAnsi="Arial"/>
          <w:sz w:val="16"/>
          <w:szCs w:val="16"/>
        </w:rPr>
        <w:t xml:space="preserve">Grossmann &amp; Berger belongs to the HASPA Group and is a founding member of the national commercial real estate network </w:t>
      </w:r>
      <w:hyperlink r:id="rId13" w:history="1">
        <w:r>
          <w:rPr>
            <w:rStyle w:val="Hyperlink"/>
            <w:rFonts w:ascii="Arial" w:hAnsi="Arial"/>
            <w:sz w:val="16"/>
            <w:szCs w:val="16"/>
          </w:rPr>
          <w:t>German Property Partners</w:t>
        </w:r>
      </w:hyperlink>
      <w:r>
        <w:rPr>
          <w:rFonts w:ascii="Arial" w:hAnsi="Arial"/>
          <w:sz w:val="16"/>
          <w:szCs w:val="16"/>
        </w:rPr>
        <w:t xml:space="preserve"> (GPP).</w:t>
      </w:r>
    </w:p>
    <w:p w14:paraId="7B47865C" w14:textId="77777777" w:rsidR="00827E35" w:rsidRPr="00521AA1" w:rsidRDefault="00827E35" w:rsidP="00827E35">
      <w:pPr>
        <w:spacing w:after="0" w:line="360" w:lineRule="auto"/>
        <w:rPr>
          <w:rFonts w:ascii="Arial" w:hAnsi="Arial" w:cs="Arial"/>
          <w:sz w:val="16"/>
          <w:szCs w:val="16"/>
        </w:rPr>
      </w:pPr>
    </w:p>
    <w:p w14:paraId="01FA82CB" w14:textId="77777777" w:rsidR="00827E35" w:rsidRDefault="00827E35" w:rsidP="00827E35">
      <w:pPr>
        <w:spacing w:after="0" w:line="360" w:lineRule="auto"/>
        <w:rPr>
          <w:rFonts w:ascii="Arial" w:hAnsi="Arial" w:cs="Arial"/>
          <w:sz w:val="16"/>
          <w:szCs w:val="16"/>
        </w:rPr>
      </w:pPr>
    </w:p>
    <w:p w14:paraId="4B5501F7" w14:textId="7BF7DBA7" w:rsidR="00503D8C" w:rsidRPr="0069237A" w:rsidRDefault="00827E35" w:rsidP="00827E35">
      <w:pPr>
        <w:spacing w:after="0" w:line="360" w:lineRule="auto"/>
        <w:rPr>
          <w:rFonts w:ascii="Arial" w:hAnsi="Arial" w:cs="Arial"/>
          <w:bCs/>
          <w:color w:val="000000" w:themeColor="text1"/>
          <w:sz w:val="20"/>
          <w:szCs w:val="20"/>
        </w:rPr>
      </w:pPr>
      <w:r>
        <w:rPr>
          <w:rFonts w:ascii="Arial" w:hAnsi="Arial"/>
          <w:sz w:val="16"/>
          <w:szCs w:val="16"/>
        </w:rPr>
        <w:t xml:space="preserve">Please consult our website for Grossmann &amp; Berger’s </w:t>
      </w:r>
      <w:hyperlink r:id="rId14" w:history="1">
        <w:r>
          <w:rPr>
            <w:rStyle w:val="Hyperlink"/>
            <w:rFonts w:ascii="Arial" w:hAnsi="Arial"/>
            <w:sz w:val="16"/>
            <w:szCs w:val="16"/>
          </w:rPr>
          <w:t>data privacy policy</w:t>
        </w:r>
      </w:hyperlink>
      <w:r>
        <w:rPr>
          <w:rFonts w:ascii="Arial" w:hAnsi="Arial"/>
          <w:sz w:val="16"/>
          <w:szCs w:val="16"/>
        </w:rPr>
        <w:t xml:space="preserve">. Here you will also be able to access our </w:t>
      </w:r>
      <w:hyperlink r:id="rId15" w:history="1">
        <w:r>
          <w:rPr>
            <w:rStyle w:val="Hyperlink"/>
            <w:rFonts w:ascii="Arial" w:hAnsi="Arial"/>
            <w:sz w:val="16"/>
            <w:szCs w:val="16"/>
          </w:rPr>
          <w:t>press kit</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69237A"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47CDE" w14:textId="77777777" w:rsidR="00D036A5" w:rsidRDefault="00D036A5">
      <w:r>
        <w:separator/>
      </w:r>
    </w:p>
  </w:endnote>
  <w:endnote w:type="continuationSeparator" w:id="0">
    <w:p w14:paraId="1A5BEA19" w14:textId="77777777" w:rsidR="00D036A5" w:rsidRDefault="00D0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E4DE" w14:textId="35B43FAD"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A35DF">
      <w:rPr>
        <w:rFonts w:ascii="Arial" w:hAnsi="Arial"/>
        <w:b/>
        <w:bCs/>
        <w:color w:val="918F90"/>
        <w:sz w:val="18"/>
        <w:szCs w:val="18"/>
        <w:lang w:val="de-DE"/>
      </w:rPr>
      <w:t xml:space="preserve">Grossmann &amp; Berger GmbH </w:t>
    </w:r>
    <w:r w:rsidRPr="00DA35DF">
      <w:rPr>
        <w:rFonts w:ascii="Arial" w:hAnsi="Arial"/>
        <w:color w:val="918F90"/>
        <w:sz w:val="18"/>
        <w:szCs w:val="18"/>
        <w:lang w:val="de-DE"/>
      </w:rPr>
      <w:t xml:space="preserve">| </w:t>
    </w:r>
    <w:proofErr w:type="spellStart"/>
    <w:r w:rsidRPr="00DA35DF">
      <w:rPr>
        <w:rFonts w:ascii="Arial" w:hAnsi="Arial"/>
        <w:color w:val="918F90"/>
        <w:sz w:val="18"/>
        <w:szCs w:val="18"/>
        <w:lang w:val="de-DE"/>
      </w:rPr>
      <w:t>Bleichenbrücke</w:t>
    </w:r>
    <w:proofErr w:type="spellEnd"/>
    <w:r w:rsidRPr="00DA35DF">
      <w:rPr>
        <w:rFonts w:ascii="Arial" w:hAnsi="Arial"/>
        <w:color w:val="918F90"/>
        <w:sz w:val="18"/>
        <w:szCs w:val="18"/>
        <w:lang w:val="de-DE"/>
      </w:rPr>
      <w:t xml:space="preserve"> 9 | 20354 Hamburg | Tel. </w:t>
    </w:r>
    <w:r>
      <w:rPr>
        <w:rFonts w:ascii="Arial" w:hAnsi="Arial"/>
        <w:color w:val="918F90"/>
        <w:sz w:val="18"/>
        <w:szCs w:val="18"/>
      </w:rPr>
      <w:t>+49 (0)40 / 350 80 2-0 | www.grossmann-berger.de</w:t>
    </w:r>
  </w:p>
  <w:p w14:paraId="161708D2" w14:textId="72437C90"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827E35">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827E35">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F838" w14:textId="77777777" w:rsidR="008C608D" w:rsidRDefault="008C608D">
    <w:pPr>
      <w:pStyle w:val="Fuzeile"/>
    </w:pPr>
    <w:r>
      <w:rPr>
        <w:noProof/>
        <w:lang w:val="de-DE" w:eastAsia="de-DE"/>
      </w:rPr>
      <w:drawing>
        <wp:anchor distT="0" distB="0" distL="0" distR="0" simplePos="0" relativeHeight="251659264" behindDoc="0" locked="0" layoutInCell="0" allowOverlap="1" wp14:anchorId="1E89235B" wp14:editId="0E1E20DF">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E37F" w14:textId="77777777" w:rsidR="00D036A5" w:rsidRDefault="00D036A5">
      <w:r>
        <w:separator/>
      </w:r>
    </w:p>
  </w:footnote>
  <w:footnote w:type="continuationSeparator" w:id="0">
    <w:p w14:paraId="07F147BD" w14:textId="77777777" w:rsidR="00D036A5" w:rsidRDefault="00D0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1852" w14:textId="77777777" w:rsidR="006138CB" w:rsidRPr="009E3ADA" w:rsidRDefault="006A760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46BAE9B7" wp14:editId="6A6E2B17">
              <wp:simplePos x="0" y="0"/>
              <wp:positionH relativeFrom="margin">
                <wp:posOffset>-92075</wp:posOffset>
              </wp:positionH>
              <wp:positionV relativeFrom="paragraph">
                <wp:posOffset>30703</wp:posOffset>
              </wp:positionV>
              <wp:extent cx="4779010" cy="281940"/>
              <wp:effectExtent l="0" t="0" r="0" b="38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34DFB114" w14:textId="4CB68D7B"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AE9B7" id="_x0000_t202" coordsize="21600,21600" o:spt="202" path="m,l,21600r21600,l21600,xe">
              <v:stroke joinstyle="miter"/>
              <v:path gradientshapeok="t" o:connecttype="rect"/>
            </v:shapetype>
            <v:shape id="Textfeld 4" o:spid="_x0000_s1026" type="#_x0000_t202" style="position:absolute;left:0;text-align:left;margin-left:-7.25pt;margin-top:2.4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" filled="f" stroked="f">
              <v:textbox>
                <w:txbxContent>
                  <w:p w14:paraId="34DFB114" w14:textId="4CB68D7B"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w10:wrap anchorx="margin"/>
            </v:shape>
          </w:pict>
        </mc:Fallback>
      </mc:AlternateContent>
    </w:r>
    <w:r>
      <w:rPr>
        <w:rFonts w:ascii="Arial" w:hAnsi="Arial"/>
        <w:color w:val="918F90"/>
        <w:sz w:val="28"/>
        <w:szCs w:val="28"/>
      </w:rPr>
      <w:t>Press release</w:t>
    </w:r>
  </w:p>
  <w:p w14:paraId="622F1146"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C5D4E" w14:textId="77777777" w:rsidR="00D83CB7" w:rsidRDefault="006A7604"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F12CF69" wp14:editId="52804C30">
              <wp:simplePos x="0" y="0"/>
              <wp:positionH relativeFrom="margin">
                <wp:posOffset>-85725</wp:posOffset>
              </wp:positionH>
              <wp:positionV relativeFrom="paragraph">
                <wp:posOffset>20543</wp:posOffset>
              </wp:positionV>
              <wp:extent cx="4832798"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798" cy="281940"/>
                      </a:xfrm>
                      <a:prstGeom prst="rect">
                        <a:avLst/>
                      </a:prstGeom>
                      <a:noFill/>
                      <a:ln w="9525">
                        <a:noFill/>
                        <a:miter lim="800000"/>
                        <a:headEnd/>
                        <a:tailEnd/>
                      </a:ln>
                    </wps:spPr>
                    <wps:txbx>
                      <w:txbxContent>
                        <w:p w14:paraId="7E2A5B96" w14:textId="59815738"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2CF69" id="_x0000_t202" coordsize="21600,21600" o:spt="202" path="m,l,21600r21600,l21600,xe">
              <v:stroke joinstyle="miter"/>
              <v:path gradientshapeok="t" o:connecttype="rect"/>
            </v:shapetype>
            <v:shape id="Textfeld 1" o:spid="_x0000_s1027" type="#_x0000_t202" style="position:absolute;left:0;text-align:left;margin-left:-6.75pt;margin-top:1.6pt;width:380.5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" filled="f" stroked="f">
              <v:textbox>
                <w:txbxContent>
                  <w:p w14:paraId="7E2A5B96" w14:textId="59815738"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w10:wrap anchorx="margin"/>
            </v:shape>
          </w:pict>
        </mc:Fallback>
      </mc:AlternateContent>
    </w:r>
    <w:r>
      <w:rPr>
        <w:rFonts w:ascii="Arial" w:hAnsi="Arial"/>
        <w:color w:val="918F90"/>
        <w:sz w:val="28"/>
        <w:szCs w:val="28"/>
      </w:rPr>
      <w:t>Press release</w:t>
    </w:r>
  </w:p>
  <w:p w14:paraId="3034665C"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4B1188"/>
    <w:multiLevelType w:val="hybridMultilevel"/>
    <w:tmpl w:val="034E41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5"/>
  </w:num>
  <w:num w:numId="15">
    <w:abstractNumId w:val="16"/>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349B"/>
    <w:rsid w:val="00011A38"/>
    <w:rsid w:val="000159FE"/>
    <w:rsid w:val="00016DDB"/>
    <w:rsid w:val="00021042"/>
    <w:rsid w:val="00022F16"/>
    <w:rsid w:val="00023D78"/>
    <w:rsid w:val="0003075C"/>
    <w:rsid w:val="00037015"/>
    <w:rsid w:val="00041728"/>
    <w:rsid w:val="00044CC7"/>
    <w:rsid w:val="00045187"/>
    <w:rsid w:val="00050ADA"/>
    <w:rsid w:val="00050E03"/>
    <w:rsid w:val="00057266"/>
    <w:rsid w:val="00060743"/>
    <w:rsid w:val="00066796"/>
    <w:rsid w:val="000720D7"/>
    <w:rsid w:val="000766D7"/>
    <w:rsid w:val="0007670A"/>
    <w:rsid w:val="00082C21"/>
    <w:rsid w:val="00082FDC"/>
    <w:rsid w:val="00083FC2"/>
    <w:rsid w:val="00091B06"/>
    <w:rsid w:val="00095029"/>
    <w:rsid w:val="000A0C99"/>
    <w:rsid w:val="000A1F83"/>
    <w:rsid w:val="000A5ED1"/>
    <w:rsid w:val="000B1606"/>
    <w:rsid w:val="000B3315"/>
    <w:rsid w:val="000C43E8"/>
    <w:rsid w:val="000C770D"/>
    <w:rsid w:val="000D06E3"/>
    <w:rsid w:val="000D56BE"/>
    <w:rsid w:val="000E03F3"/>
    <w:rsid w:val="000E0716"/>
    <w:rsid w:val="000E3494"/>
    <w:rsid w:val="000E7BC7"/>
    <w:rsid w:val="000E7E42"/>
    <w:rsid w:val="000F726E"/>
    <w:rsid w:val="001029C4"/>
    <w:rsid w:val="00105EAA"/>
    <w:rsid w:val="0011079D"/>
    <w:rsid w:val="0011486D"/>
    <w:rsid w:val="00115984"/>
    <w:rsid w:val="00120853"/>
    <w:rsid w:val="00121E33"/>
    <w:rsid w:val="0012238F"/>
    <w:rsid w:val="00122A77"/>
    <w:rsid w:val="0012329F"/>
    <w:rsid w:val="00123619"/>
    <w:rsid w:val="00126550"/>
    <w:rsid w:val="00126EB1"/>
    <w:rsid w:val="00127639"/>
    <w:rsid w:val="001324D6"/>
    <w:rsid w:val="00135BD2"/>
    <w:rsid w:val="00135E09"/>
    <w:rsid w:val="0014179B"/>
    <w:rsid w:val="00141FCC"/>
    <w:rsid w:val="00142B3C"/>
    <w:rsid w:val="00143170"/>
    <w:rsid w:val="00143504"/>
    <w:rsid w:val="00143D29"/>
    <w:rsid w:val="001463AB"/>
    <w:rsid w:val="00154797"/>
    <w:rsid w:val="00154825"/>
    <w:rsid w:val="0015550E"/>
    <w:rsid w:val="00162BD4"/>
    <w:rsid w:val="00163DB4"/>
    <w:rsid w:val="00170928"/>
    <w:rsid w:val="0017364E"/>
    <w:rsid w:val="0017516B"/>
    <w:rsid w:val="001753A7"/>
    <w:rsid w:val="00176F1D"/>
    <w:rsid w:val="0018068D"/>
    <w:rsid w:val="00181313"/>
    <w:rsid w:val="00185026"/>
    <w:rsid w:val="0018568C"/>
    <w:rsid w:val="001871BC"/>
    <w:rsid w:val="00192487"/>
    <w:rsid w:val="001A2246"/>
    <w:rsid w:val="001A2ABE"/>
    <w:rsid w:val="001A360C"/>
    <w:rsid w:val="001A6053"/>
    <w:rsid w:val="001A7E51"/>
    <w:rsid w:val="001C4F70"/>
    <w:rsid w:val="001C72E7"/>
    <w:rsid w:val="001D14DA"/>
    <w:rsid w:val="001E1172"/>
    <w:rsid w:val="001E1BA2"/>
    <w:rsid w:val="001E6995"/>
    <w:rsid w:val="001F0C02"/>
    <w:rsid w:val="001F1513"/>
    <w:rsid w:val="001F3388"/>
    <w:rsid w:val="0020444E"/>
    <w:rsid w:val="00205769"/>
    <w:rsid w:val="00212FEC"/>
    <w:rsid w:val="002131BB"/>
    <w:rsid w:val="0022086D"/>
    <w:rsid w:val="00223A7F"/>
    <w:rsid w:val="00226799"/>
    <w:rsid w:val="00227E31"/>
    <w:rsid w:val="00230F81"/>
    <w:rsid w:val="002341EE"/>
    <w:rsid w:val="00237341"/>
    <w:rsid w:val="00251750"/>
    <w:rsid w:val="002523E5"/>
    <w:rsid w:val="00252F48"/>
    <w:rsid w:val="00254C6F"/>
    <w:rsid w:val="00255679"/>
    <w:rsid w:val="002578C6"/>
    <w:rsid w:val="00262F5F"/>
    <w:rsid w:val="00264489"/>
    <w:rsid w:val="002677B9"/>
    <w:rsid w:val="0027266B"/>
    <w:rsid w:val="002747E2"/>
    <w:rsid w:val="00274D58"/>
    <w:rsid w:val="00281E80"/>
    <w:rsid w:val="00282986"/>
    <w:rsid w:val="002834B0"/>
    <w:rsid w:val="00283671"/>
    <w:rsid w:val="00284A5D"/>
    <w:rsid w:val="00284E27"/>
    <w:rsid w:val="0029137A"/>
    <w:rsid w:val="00294B7D"/>
    <w:rsid w:val="002A1973"/>
    <w:rsid w:val="002A2641"/>
    <w:rsid w:val="002A38F8"/>
    <w:rsid w:val="002A4913"/>
    <w:rsid w:val="002A7502"/>
    <w:rsid w:val="002A7FFD"/>
    <w:rsid w:val="002B14F6"/>
    <w:rsid w:val="002B1B51"/>
    <w:rsid w:val="002C055A"/>
    <w:rsid w:val="002C2392"/>
    <w:rsid w:val="002D1C5C"/>
    <w:rsid w:val="002D1E20"/>
    <w:rsid w:val="002E5576"/>
    <w:rsid w:val="002E6200"/>
    <w:rsid w:val="002E6860"/>
    <w:rsid w:val="002F0411"/>
    <w:rsid w:val="002F1D70"/>
    <w:rsid w:val="002F317E"/>
    <w:rsid w:val="002F4176"/>
    <w:rsid w:val="002F4A7D"/>
    <w:rsid w:val="002F767E"/>
    <w:rsid w:val="00301F3A"/>
    <w:rsid w:val="00305878"/>
    <w:rsid w:val="003109D2"/>
    <w:rsid w:val="0031494D"/>
    <w:rsid w:val="003246F0"/>
    <w:rsid w:val="00325E2A"/>
    <w:rsid w:val="003272F3"/>
    <w:rsid w:val="003338B5"/>
    <w:rsid w:val="0033490B"/>
    <w:rsid w:val="003375D4"/>
    <w:rsid w:val="003377DF"/>
    <w:rsid w:val="00340421"/>
    <w:rsid w:val="003421A6"/>
    <w:rsid w:val="00345716"/>
    <w:rsid w:val="0034786C"/>
    <w:rsid w:val="003517C9"/>
    <w:rsid w:val="00357EC4"/>
    <w:rsid w:val="00361A4A"/>
    <w:rsid w:val="003627E1"/>
    <w:rsid w:val="00363EAC"/>
    <w:rsid w:val="00365FE2"/>
    <w:rsid w:val="00370000"/>
    <w:rsid w:val="003704BA"/>
    <w:rsid w:val="003709DA"/>
    <w:rsid w:val="00373507"/>
    <w:rsid w:val="00375B11"/>
    <w:rsid w:val="00377A09"/>
    <w:rsid w:val="00381BED"/>
    <w:rsid w:val="0038230E"/>
    <w:rsid w:val="00382529"/>
    <w:rsid w:val="003923CD"/>
    <w:rsid w:val="0039259C"/>
    <w:rsid w:val="00395564"/>
    <w:rsid w:val="00395ED5"/>
    <w:rsid w:val="00395FA7"/>
    <w:rsid w:val="0039600D"/>
    <w:rsid w:val="003A00C9"/>
    <w:rsid w:val="003A22D7"/>
    <w:rsid w:val="003A25A4"/>
    <w:rsid w:val="003A4054"/>
    <w:rsid w:val="003A4DDA"/>
    <w:rsid w:val="003A6BDC"/>
    <w:rsid w:val="003B40F8"/>
    <w:rsid w:val="003B49E4"/>
    <w:rsid w:val="003B4CCF"/>
    <w:rsid w:val="003B6CD4"/>
    <w:rsid w:val="003C21F2"/>
    <w:rsid w:val="003C6AB4"/>
    <w:rsid w:val="003C7E40"/>
    <w:rsid w:val="003D01C2"/>
    <w:rsid w:val="003D0A8A"/>
    <w:rsid w:val="003D1B49"/>
    <w:rsid w:val="003D2BB6"/>
    <w:rsid w:val="003D58A6"/>
    <w:rsid w:val="003D5CFE"/>
    <w:rsid w:val="003D6FF9"/>
    <w:rsid w:val="003E099F"/>
    <w:rsid w:val="003E15F5"/>
    <w:rsid w:val="003E48E3"/>
    <w:rsid w:val="003E4DF9"/>
    <w:rsid w:val="003F03F9"/>
    <w:rsid w:val="003F5967"/>
    <w:rsid w:val="003F665D"/>
    <w:rsid w:val="003F7C37"/>
    <w:rsid w:val="0040086D"/>
    <w:rsid w:val="004017D8"/>
    <w:rsid w:val="00404594"/>
    <w:rsid w:val="00404D58"/>
    <w:rsid w:val="00411E03"/>
    <w:rsid w:val="004123B1"/>
    <w:rsid w:val="004303A1"/>
    <w:rsid w:val="00440DC9"/>
    <w:rsid w:val="004433EA"/>
    <w:rsid w:val="004450C4"/>
    <w:rsid w:val="00446638"/>
    <w:rsid w:val="004506D2"/>
    <w:rsid w:val="00451530"/>
    <w:rsid w:val="00455FC3"/>
    <w:rsid w:val="00456F40"/>
    <w:rsid w:val="004609BD"/>
    <w:rsid w:val="00464B04"/>
    <w:rsid w:val="004661EE"/>
    <w:rsid w:val="00466741"/>
    <w:rsid w:val="00470064"/>
    <w:rsid w:val="00474753"/>
    <w:rsid w:val="004761F0"/>
    <w:rsid w:val="00476E2B"/>
    <w:rsid w:val="004843A0"/>
    <w:rsid w:val="004875DB"/>
    <w:rsid w:val="004A27D9"/>
    <w:rsid w:val="004A2BEA"/>
    <w:rsid w:val="004A3C64"/>
    <w:rsid w:val="004A4AA9"/>
    <w:rsid w:val="004A5AD1"/>
    <w:rsid w:val="004A5AEA"/>
    <w:rsid w:val="004B2FDA"/>
    <w:rsid w:val="004B45A2"/>
    <w:rsid w:val="004B480A"/>
    <w:rsid w:val="004C0CA2"/>
    <w:rsid w:val="004C4080"/>
    <w:rsid w:val="004C48C8"/>
    <w:rsid w:val="004C6712"/>
    <w:rsid w:val="004C6E6E"/>
    <w:rsid w:val="004D50C0"/>
    <w:rsid w:val="004D772A"/>
    <w:rsid w:val="004E339B"/>
    <w:rsid w:val="004E4273"/>
    <w:rsid w:val="004E4562"/>
    <w:rsid w:val="004E51E0"/>
    <w:rsid w:val="004E7B3E"/>
    <w:rsid w:val="004F077F"/>
    <w:rsid w:val="004F091E"/>
    <w:rsid w:val="004F1311"/>
    <w:rsid w:val="004F4066"/>
    <w:rsid w:val="005023DD"/>
    <w:rsid w:val="00503D8C"/>
    <w:rsid w:val="00510F37"/>
    <w:rsid w:val="00514293"/>
    <w:rsid w:val="00522B84"/>
    <w:rsid w:val="00530EB4"/>
    <w:rsid w:val="00531A7F"/>
    <w:rsid w:val="00531AD3"/>
    <w:rsid w:val="00534BAD"/>
    <w:rsid w:val="005360E8"/>
    <w:rsid w:val="00537DEF"/>
    <w:rsid w:val="005428C5"/>
    <w:rsid w:val="00543C55"/>
    <w:rsid w:val="00550954"/>
    <w:rsid w:val="0055393B"/>
    <w:rsid w:val="005554C7"/>
    <w:rsid w:val="00556F58"/>
    <w:rsid w:val="005606A6"/>
    <w:rsid w:val="00561301"/>
    <w:rsid w:val="005645FF"/>
    <w:rsid w:val="00567D57"/>
    <w:rsid w:val="005743D2"/>
    <w:rsid w:val="00577799"/>
    <w:rsid w:val="00580EB7"/>
    <w:rsid w:val="00581456"/>
    <w:rsid w:val="00582B99"/>
    <w:rsid w:val="005860E2"/>
    <w:rsid w:val="00586256"/>
    <w:rsid w:val="00587FDA"/>
    <w:rsid w:val="00590903"/>
    <w:rsid w:val="0059148B"/>
    <w:rsid w:val="005A5CB3"/>
    <w:rsid w:val="005A617A"/>
    <w:rsid w:val="005A76EE"/>
    <w:rsid w:val="005B0FC9"/>
    <w:rsid w:val="005B5D36"/>
    <w:rsid w:val="005B66D3"/>
    <w:rsid w:val="005C100F"/>
    <w:rsid w:val="005C29E5"/>
    <w:rsid w:val="005C4556"/>
    <w:rsid w:val="005C5302"/>
    <w:rsid w:val="005D307B"/>
    <w:rsid w:val="005D515A"/>
    <w:rsid w:val="005D7B79"/>
    <w:rsid w:val="005E362E"/>
    <w:rsid w:val="005F2CA6"/>
    <w:rsid w:val="005F2D3C"/>
    <w:rsid w:val="005F7593"/>
    <w:rsid w:val="006021B6"/>
    <w:rsid w:val="006029D7"/>
    <w:rsid w:val="00603A68"/>
    <w:rsid w:val="006071DC"/>
    <w:rsid w:val="0061109D"/>
    <w:rsid w:val="00612AA0"/>
    <w:rsid w:val="006138CB"/>
    <w:rsid w:val="00615DC2"/>
    <w:rsid w:val="00615FA2"/>
    <w:rsid w:val="00616335"/>
    <w:rsid w:val="0062106E"/>
    <w:rsid w:val="006224C4"/>
    <w:rsid w:val="006225EA"/>
    <w:rsid w:val="006261DF"/>
    <w:rsid w:val="00626D43"/>
    <w:rsid w:val="00627588"/>
    <w:rsid w:val="00627692"/>
    <w:rsid w:val="00630694"/>
    <w:rsid w:val="00632543"/>
    <w:rsid w:val="006335A9"/>
    <w:rsid w:val="00634517"/>
    <w:rsid w:val="00641270"/>
    <w:rsid w:val="00642074"/>
    <w:rsid w:val="006424F8"/>
    <w:rsid w:val="00642832"/>
    <w:rsid w:val="00646A18"/>
    <w:rsid w:val="00647950"/>
    <w:rsid w:val="00662F19"/>
    <w:rsid w:val="006752B2"/>
    <w:rsid w:val="00681CAB"/>
    <w:rsid w:val="006842EF"/>
    <w:rsid w:val="0068555F"/>
    <w:rsid w:val="00687256"/>
    <w:rsid w:val="0069237A"/>
    <w:rsid w:val="006928C4"/>
    <w:rsid w:val="00692D1D"/>
    <w:rsid w:val="0069320C"/>
    <w:rsid w:val="00693566"/>
    <w:rsid w:val="00695E58"/>
    <w:rsid w:val="006966CB"/>
    <w:rsid w:val="0069757D"/>
    <w:rsid w:val="006A1329"/>
    <w:rsid w:val="006A554D"/>
    <w:rsid w:val="006A608F"/>
    <w:rsid w:val="006A66F9"/>
    <w:rsid w:val="006A7604"/>
    <w:rsid w:val="006C1DD8"/>
    <w:rsid w:val="006D024C"/>
    <w:rsid w:val="006D0A0A"/>
    <w:rsid w:val="006D12FB"/>
    <w:rsid w:val="006D360D"/>
    <w:rsid w:val="006D58B9"/>
    <w:rsid w:val="006E03AB"/>
    <w:rsid w:val="006E5C9C"/>
    <w:rsid w:val="006F1774"/>
    <w:rsid w:val="006F46E0"/>
    <w:rsid w:val="006F625D"/>
    <w:rsid w:val="0070224E"/>
    <w:rsid w:val="00704C9B"/>
    <w:rsid w:val="00707260"/>
    <w:rsid w:val="00711ECC"/>
    <w:rsid w:val="00715FB9"/>
    <w:rsid w:val="00717A20"/>
    <w:rsid w:val="00720DED"/>
    <w:rsid w:val="00720DFF"/>
    <w:rsid w:val="00723B02"/>
    <w:rsid w:val="00724905"/>
    <w:rsid w:val="00730E23"/>
    <w:rsid w:val="0073257C"/>
    <w:rsid w:val="007333A7"/>
    <w:rsid w:val="0074780F"/>
    <w:rsid w:val="00750125"/>
    <w:rsid w:val="007527D2"/>
    <w:rsid w:val="0075428A"/>
    <w:rsid w:val="00761ADC"/>
    <w:rsid w:val="00762CC5"/>
    <w:rsid w:val="00764E36"/>
    <w:rsid w:val="00765C4B"/>
    <w:rsid w:val="0076692B"/>
    <w:rsid w:val="00767B8E"/>
    <w:rsid w:val="0078628E"/>
    <w:rsid w:val="00786781"/>
    <w:rsid w:val="00787037"/>
    <w:rsid w:val="007906B4"/>
    <w:rsid w:val="007970A0"/>
    <w:rsid w:val="007A592B"/>
    <w:rsid w:val="007B215B"/>
    <w:rsid w:val="007B4617"/>
    <w:rsid w:val="007B7BAD"/>
    <w:rsid w:val="007C2AF5"/>
    <w:rsid w:val="007C3BBA"/>
    <w:rsid w:val="007C5B5E"/>
    <w:rsid w:val="007C73F7"/>
    <w:rsid w:val="007C7AA5"/>
    <w:rsid w:val="007D1FC4"/>
    <w:rsid w:val="007E0DED"/>
    <w:rsid w:val="007E28C6"/>
    <w:rsid w:val="007E3B34"/>
    <w:rsid w:val="007E41BA"/>
    <w:rsid w:val="007E5BB9"/>
    <w:rsid w:val="007E759D"/>
    <w:rsid w:val="007E78E9"/>
    <w:rsid w:val="007F2DBE"/>
    <w:rsid w:val="007F33B6"/>
    <w:rsid w:val="007F3DCE"/>
    <w:rsid w:val="007F5D65"/>
    <w:rsid w:val="007F642D"/>
    <w:rsid w:val="007F756A"/>
    <w:rsid w:val="0080256B"/>
    <w:rsid w:val="008044B3"/>
    <w:rsid w:val="0080777B"/>
    <w:rsid w:val="00812471"/>
    <w:rsid w:val="00816064"/>
    <w:rsid w:val="00824727"/>
    <w:rsid w:val="00824D33"/>
    <w:rsid w:val="008261A5"/>
    <w:rsid w:val="00827E35"/>
    <w:rsid w:val="0083382E"/>
    <w:rsid w:val="008414A6"/>
    <w:rsid w:val="00842F5E"/>
    <w:rsid w:val="00850B17"/>
    <w:rsid w:val="00850B30"/>
    <w:rsid w:val="00855325"/>
    <w:rsid w:val="00855494"/>
    <w:rsid w:val="00855D4A"/>
    <w:rsid w:val="0085713A"/>
    <w:rsid w:val="00862E34"/>
    <w:rsid w:val="0086403E"/>
    <w:rsid w:val="00865915"/>
    <w:rsid w:val="008715FE"/>
    <w:rsid w:val="00871832"/>
    <w:rsid w:val="008740D8"/>
    <w:rsid w:val="0087446E"/>
    <w:rsid w:val="00874930"/>
    <w:rsid w:val="008775C5"/>
    <w:rsid w:val="00883410"/>
    <w:rsid w:val="00886360"/>
    <w:rsid w:val="00886953"/>
    <w:rsid w:val="00886CCE"/>
    <w:rsid w:val="008942C6"/>
    <w:rsid w:val="00896B33"/>
    <w:rsid w:val="00896D24"/>
    <w:rsid w:val="008A486B"/>
    <w:rsid w:val="008A62FB"/>
    <w:rsid w:val="008A77B7"/>
    <w:rsid w:val="008B0F67"/>
    <w:rsid w:val="008C0F8D"/>
    <w:rsid w:val="008C5C1A"/>
    <w:rsid w:val="008C608D"/>
    <w:rsid w:val="008C6670"/>
    <w:rsid w:val="008C7E5F"/>
    <w:rsid w:val="008D4D39"/>
    <w:rsid w:val="008E38C1"/>
    <w:rsid w:val="008E3AE2"/>
    <w:rsid w:val="008E461D"/>
    <w:rsid w:val="008E65DC"/>
    <w:rsid w:val="008F08E5"/>
    <w:rsid w:val="008F0EA4"/>
    <w:rsid w:val="008F38F6"/>
    <w:rsid w:val="008F5213"/>
    <w:rsid w:val="008F594E"/>
    <w:rsid w:val="009000CF"/>
    <w:rsid w:val="0090510E"/>
    <w:rsid w:val="0090574E"/>
    <w:rsid w:val="009073C7"/>
    <w:rsid w:val="0090748B"/>
    <w:rsid w:val="009101A6"/>
    <w:rsid w:val="00920C9C"/>
    <w:rsid w:val="00922754"/>
    <w:rsid w:val="00925781"/>
    <w:rsid w:val="009258D0"/>
    <w:rsid w:val="00926F5D"/>
    <w:rsid w:val="0092736D"/>
    <w:rsid w:val="00932E7E"/>
    <w:rsid w:val="00935AB3"/>
    <w:rsid w:val="0094505A"/>
    <w:rsid w:val="009526DF"/>
    <w:rsid w:val="009553B8"/>
    <w:rsid w:val="00956905"/>
    <w:rsid w:val="009619D1"/>
    <w:rsid w:val="00963140"/>
    <w:rsid w:val="009646C4"/>
    <w:rsid w:val="00965108"/>
    <w:rsid w:val="009734CE"/>
    <w:rsid w:val="00974E78"/>
    <w:rsid w:val="00976B5A"/>
    <w:rsid w:val="00982387"/>
    <w:rsid w:val="009827B0"/>
    <w:rsid w:val="0098460C"/>
    <w:rsid w:val="009862C9"/>
    <w:rsid w:val="00986F4C"/>
    <w:rsid w:val="009919C7"/>
    <w:rsid w:val="0099386F"/>
    <w:rsid w:val="0099413E"/>
    <w:rsid w:val="00995237"/>
    <w:rsid w:val="00996E1A"/>
    <w:rsid w:val="009A3457"/>
    <w:rsid w:val="009A504F"/>
    <w:rsid w:val="009A6689"/>
    <w:rsid w:val="009B1E98"/>
    <w:rsid w:val="009B42CF"/>
    <w:rsid w:val="009B4392"/>
    <w:rsid w:val="009B6D79"/>
    <w:rsid w:val="009B7D09"/>
    <w:rsid w:val="009C0678"/>
    <w:rsid w:val="009C5E5C"/>
    <w:rsid w:val="009D24DA"/>
    <w:rsid w:val="009D35EC"/>
    <w:rsid w:val="009D5D75"/>
    <w:rsid w:val="009D684A"/>
    <w:rsid w:val="009E0858"/>
    <w:rsid w:val="009E0C0B"/>
    <w:rsid w:val="009E5167"/>
    <w:rsid w:val="009E6514"/>
    <w:rsid w:val="009F32A2"/>
    <w:rsid w:val="009F54CE"/>
    <w:rsid w:val="00A0231C"/>
    <w:rsid w:val="00A02793"/>
    <w:rsid w:val="00A05C3F"/>
    <w:rsid w:val="00A06264"/>
    <w:rsid w:val="00A103B0"/>
    <w:rsid w:val="00A1639A"/>
    <w:rsid w:val="00A215C9"/>
    <w:rsid w:val="00A31B4D"/>
    <w:rsid w:val="00A42A17"/>
    <w:rsid w:val="00A443FF"/>
    <w:rsid w:val="00A46F56"/>
    <w:rsid w:val="00A5364B"/>
    <w:rsid w:val="00A615E0"/>
    <w:rsid w:val="00A65E2B"/>
    <w:rsid w:val="00A74AA0"/>
    <w:rsid w:val="00A7546D"/>
    <w:rsid w:val="00A75699"/>
    <w:rsid w:val="00A76566"/>
    <w:rsid w:val="00A77100"/>
    <w:rsid w:val="00A81D4D"/>
    <w:rsid w:val="00A85F19"/>
    <w:rsid w:val="00A8792D"/>
    <w:rsid w:val="00A90C63"/>
    <w:rsid w:val="00AA38B1"/>
    <w:rsid w:val="00AA4D97"/>
    <w:rsid w:val="00AB6E54"/>
    <w:rsid w:val="00AC168C"/>
    <w:rsid w:val="00AC41D5"/>
    <w:rsid w:val="00AD17B7"/>
    <w:rsid w:val="00AD7C39"/>
    <w:rsid w:val="00AE4157"/>
    <w:rsid w:val="00AF08D2"/>
    <w:rsid w:val="00AF1FB0"/>
    <w:rsid w:val="00AF362A"/>
    <w:rsid w:val="00B02941"/>
    <w:rsid w:val="00B04801"/>
    <w:rsid w:val="00B06306"/>
    <w:rsid w:val="00B069C5"/>
    <w:rsid w:val="00B06D1B"/>
    <w:rsid w:val="00B077D5"/>
    <w:rsid w:val="00B079DF"/>
    <w:rsid w:val="00B136DC"/>
    <w:rsid w:val="00B16A78"/>
    <w:rsid w:val="00B200E4"/>
    <w:rsid w:val="00B210A4"/>
    <w:rsid w:val="00B24E92"/>
    <w:rsid w:val="00B26FFD"/>
    <w:rsid w:val="00B35B6D"/>
    <w:rsid w:val="00B35DC6"/>
    <w:rsid w:val="00B4182C"/>
    <w:rsid w:val="00B42B8C"/>
    <w:rsid w:val="00B42F67"/>
    <w:rsid w:val="00B4491B"/>
    <w:rsid w:val="00B46EE2"/>
    <w:rsid w:val="00B500A5"/>
    <w:rsid w:val="00B51699"/>
    <w:rsid w:val="00B53FAF"/>
    <w:rsid w:val="00B60999"/>
    <w:rsid w:val="00B63153"/>
    <w:rsid w:val="00B6527D"/>
    <w:rsid w:val="00B7396A"/>
    <w:rsid w:val="00B73B3A"/>
    <w:rsid w:val="00B74507"/>
    <w:rsid w:val="00B7542D"/>
    <w:rsid w:val="00B75718"/>
    <w:rsid w:val="00B75E7E"/>
    <w:rsid w:val="00B762EB"/>
    <w:rsid w:val="00B76927"/>
    <w:rsid w:val="00B81D29"/>
    <w:rsid w:val="00B85FF2"/>
    <w:rsid w:val="00B93817"/>
    <w:rsid w:val="00B9391B"/>
    <w:rsid w:val="00B9682D"/>
    <w:rsid w:val="00BA0849"/>
    <w:rsid w:val="00BA0B96"/>
    <w:rsid w:val="00BA1A9C"/>
    <w:rsid w:val="00BA21A3"/>
    <w:rsid w:val="00BB06B9"/>
    <w:rsid w:val="00BB15DA"/>
    <w:rsid w:val="00BB340D"/>
    <w:rsid w:val="00BC2A3A"/>
    <w:rsid w:val="00BC3E27"/>
    <w:rsid w:val="00BC64EC"/>
    <w:rsid w:val="00BD029E"/>
    <w:rsid w:val="00BD073D"/>
    <w:rsid w:val="00BD0D66"/>
    <w:rsid w:val="00BD2E2F"/>
    <w:rsid w:val="00BE2424"/>
    <w:rsid w:val="00BE4198"/>
    <w:rsid w:val="00BF31E4"/>
    <w:rsid w:val="00BF3AFD"/>
    <w:rsid w:val="00BF3C49"/>
    <w:rsid w:val="00BF6593"/>
    <w:rsid w:val="00C024D1"/>
    <w:rsid w:val="00C12F1D"/>
    <w:rsid w:val="00C1606C"/>
    <w:rsid w:val="00C23180"/>
    <w:rsid w:val="00C245F2"/>
    <w:rsid w:val="00C26F94"/>
    <w:rsid w:val="00C2798B"/>
    <w:rsid w:val="00C36C38"/>
    <w:rsid w:val="00C41492"/>
    <w:rsid w:val="00C47179"/>
    <w:rsid w:val="00C502EC"/>
    <w:rsid w:val="00C50874"/>
    <w:rsid w:val="00C51419"/>
    <w:rsid w:val="00C702B5"/>
    <w:rsid w:val="00C70389"/>
    <w:rsid w:val="00C73AFA"/>
    <w:rsid w:val="00C748A6"/>
    <w:rsid w:val="00C8454D"/>
    <w:rsid w:val="00C904B6"/>
    <w:rsid w:val="00C90A75"/>
    <w:rsid w:val="00C96DF4"/>
    <w:rsid w:val="00CA6A66"/>
    <w:rsid w:val="00CB18EE"/>
    <w:rsid w:val="00CB6245"/>
    <w:rsid w:val="00CC1337"/>
    <w:rsid w:val="00CC2514"/>
    <w:rsid w:val="00CC48DF"/>
    <w:rsid w:val="00CD1CCD"/>
    <w:rsid w:val="00CD4275"/>
    <w:rsid w:val="00CD4A91"/>
    <w:rsid w:val="00CD70E7"/>
    <w:rsid w:val="00CD7363"/>
    <w:rsid w:val="00CE0964"/>
    <w:rsid w:val="00CE0C1F"/>
    <w:rsid w:val="00CE2041"/>
    <w:rsid w:val="00CE41E1"/>
    <w:rsid w:val="00CE455F"/>
    <w:rsid w:val="00CF0BF9"/>
    <w:rsid w:val="00CF5957"/>
    <w:rsid w:val="00CF7CBD"/>
    <w:rsid w:val="00D01D40"/>
    <w:rsid w:val="00D02460"/>
    <w:rsid w:val="00D02D0D"/>
    <w:rsid w:val="00D036A5"/>
    <w:rsid w:val="00D04BA2"/>
    <w:rsid w:val="00D077B0"/>
    <w:rsid w:val="00D10B6F"/>
    <w:rsid w:val="00D11364"/>
    <w:rsid w:val="00D13F86"/>
    <w:rsid w:val="00D1602C"/>
    <w:rsid w:val="00D1670A"/>
    <w:rsid w:val="00D22D42"/>
    <w:rsid w:val="00D232F7"/>
    <w:rsid w:val="00D252B7"/>
    <w:rsid w:val="00D36D8D"/>
    <w:rsid w:val="00D45711"/>
    <w:rsid w:val="00D46C16"/>
    <w:rsid w:val="00D500FC"/>
    <w:rsid w:val="00D51597"/>
    <w:rsid w:val="00D5326E"/>
    <w:rsid w:val="00D55867"/>
    <w:rsid w:val="00D5605B"/>
    <w:rsid w:val="00D634A3"/>
    <w:rsid w:val="00D63F53"/>
    <w:rsid w:val="00D64886"/>
    <w:rsid w:val="00D7059B"/>
    <w:rsid w:val="00D713A7"/>
    <w:rsid w:val="00D72339"/>
    <w:rsid w:val="00D73E47"/>
    <w:rsid w:val="00D74ABB"/>
    <w:rsid w:val="00D77B6E"/>
    <w:rsid w:val="00D83CB0"/>
    <w:rsid w:val="00D83CB7"/>
    <w:rsid w:val="00D85C58"/>
    <w:rsid w:val="00D97FA8"/>
    <w:rsid w:val="00DA0CFD"/>
    <w:rsid w:val="00DA2E1E"/>
    <w:rsid w:val="00DA3063"/>
    <w:rsid w:val="00DA35DF"/>
    <w:rsid w:val="00DA75EB"/>
    <w:rsid w:val="00DB4363"/>
    <w:rsid w:val="00DC7B25"/>
    <w:rsid w:val="00DD422D"/>
    <w:rsid w:val="00DD5942"/>
    <w:rsid w:val="00DD652C"/>
    <w:rsid w:val="00DD6B73"/>
    <w:rsid w:val="00DE23F8"/>
    <w:rsid w:val="00DE4EB3"/>
    <w:rsid w:val="00DE7CC2"/>
    <w:rsid w:val="00DF5A23"/>
    <w:rsid w:val="00E01438"/>
    <w:rsid w:val="00E036F9"/>
    <w:rsid w:val="00E04521"/>
    <w:rsid w:val="00E04869"/>
    <w:rsid w:val="00E05CF6"/>
    <w:rsid w:val="00E112C9"/>
    <w:rsid w:val="00E12C06"/>
    <w:rsid w:val="00E1314C"/>
    <w:rsid w:val="00E138AB"/>
    <w:rsid w:val="00E149C4"/>
    <w:rsid w:val="00E158F7"/>
    <w:rsid w:val="00E175DE"/>
    <w:rsid w:val="00E2087E"/>
    <w:rsid w:val="00E21D2A"/>
    <w:rsid w:val="00E21FF0"/>
    <w:rsid w:val="00E2470E"/>
    <w:rsid w:val="00E2636D"/>
    <w:rsid w:val="00E33631"/>
    <w:rsid w:val="00E34976"/>
    <w:rsid w:val="00E36818"/>
    <w:rsid w:val="00E36AA4"/>
    <w:rsid w:val="00E37B23"/>
    <w:rsid w:val="00E455D7"/>
    <w:rsid w:val="00E47B97"/>
    <w:rsid w:val="00E5010B"/>
    <w:rsid w:val="00E5203C"/>
    <w:rsid w:val="00E55438"/>
    <w:rsid w:val="00E55B40"/>
    <w:rsid w:val="00E566E7"/>
    <w:rsid w:val="00E634CC"/>
    <w:rsid w:val="00E63C8F"/>
    <w:rsid w:val="00E64B2E"/>
    <w:rsid w:val="00E66497"/>
    <w:rsid w:val="00E66DFA"/>
    <w:rsid w:val="00E70EF5"/>
    <w:rsid w:val="00E71245"/>
    <w:rsid w:val="00E76BD6"/>
    <w:rsid w:val="00E82F0E"/>
    <w:rsid w:val="00E90644"/>
    <w:rsid w:val="00E9292D"/>
    <w:rsid w:val="00E93505"/>
    <w:rsid w:val="00E95F89"/>
    <w:rsid w:val="00E96FAC"/>
    <w:rsid w:val="00EA0E0A"/>
    <w:rsid w:val="00EA129F"/>
    <w:rsid w:val="00EA1CAA"/>
    <w:rsid w:val="00EA3F39"/>
    <w:rsid w:val="00EA46CC"/>
    <w:rsid w:val="00EA48AA"/>
    <w:rsid w:val="00EB07A3"/>
    <w:rsid w:val="00EB7A31"/>
    <w:rsid w:val="00EC287C"/>
    <w:rsid w:val="00EC3FDE"/>
    <w:rsid w:val="00ED0582"/>
    <w:rsid w:val="00ED1262"/>
    <w:rsid w:val="00ED4B64"/>
    <w:rsid w:val="00ED7374"/>
    <w:rsid w:val="00ED765A"/>
    <w:rsid w:val="00EE12FE"/>
    <w:rsid w:val="00EE31F6"/>
    <w:rsid w:val="00EE36DC"/>
    <w:rsid w:val="00EE40C6"/>
    <w:rsid w:val="00EF47B8"/>
    <w:rsid w:val="00F00071"/>
    <w:rsid w:val="00F044EE"/>
    <w:rsid w:val="00F04B03"/>
    <w:rsid w:val="00F06C93"/>
    <w:rsid w:val="00F073AD"/>
    <w:rsid w:val="00F16065"/>
    <w:rsid w:val="00F20A3B"/>
    <w:rsid w:val="00F2157F"/>
    <w:rsid w:val="00F25B1B"/>
    <w:rsid w:val="00F32201"/>
    <w:rsid w:val="00F32F9E"/>
    <w:rsid w:val="00F3320B"/>
    <w:rsid w:val="00F40E92"/>
    <w:rsid w:val="00F41947"/>
    <w:rsid w:val="00F41DEB"/>
    <w:rsid w:val="00F435AA"/>
    <w:rsid w:val="00F43A2F"/>
    <w:rsid w:val="00F45290"/>
    <w:rsid w:val="00F46168"/>
    <w:rsid w:val="00F6611E"/>
    <w:rsid w:val="00F67646"/>
    <w:rsid w:val="00F71846"/>
    <w:rsid w:val="00F75698"/>
    <w:rsid w:val="00F76C6A"/>
    <w:rsid w:val="00F83BF1"/>
    <w:rsid w:val="00F856C4"/>
    <w:rsid w:val="00F869C3"/>
    <w:rsid w:val="00F90CB9"/>
    <w:rsid w:val="00F93E08"/>
    <w:rsid w:val="00F96C69"/>
    <w:rsid w:val="00F97373"/>
    <w:rsid w:val="00F97F03"/>
    <w:rsid w:val="00FA0254"/>
    <w:rsid w:val="00FA6854"/>
    <w:rsid w:val="00FB01B9"/>
    <w:rsid w:val="00FB064F"/>
    <w:rsid w:val="00FB0F6B"/>
    <w:rsid w:val="00FB144F"/>
    <w:rsid w:val="00FB159A"/>
    <w:rsid w:val="00FB4D77"/>
    <w:rsid w:val="00FB5719"/>
    <w:rsid w:val="00FB7BBA"/>
    <w:rsid w:val="00FC007A"/>
    <w:rsid w:val="00FC497D"/>
    <w:rsid w:val="00FC7510"/>
    <w:rsid w:val="00FD076B"/>
    <w:rsid w:val="00FD15D2"/>
    <w:rsid w:val="00FD70F1"/>
    <w:rsid w:val="00FE1986"/>
    <w:rsid w:val="00FE231B"/>
    <w:rsid w:val="00FE43D5"/>
    <w:rsid w:val="00FF1EC5"/>
    <w:rsid w:val="00FF271F"/>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2740B3"/>
  <w15:docId w15:val="{A66DD1C2-B15E-4324-A92C-EA74C0CF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https://www.grossmann-berger.de/en/company/press-portfolio/terms-of-use-for-press-materi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en/company/press-portfolio" TargetMode="External"/><Relationship Id="rId23" Type="http://schemas.openxmlformats.org/officeDocument/2006/relationships/theme" Target="theme/theme1.xml"/><Relationship Id="rId10" Type="http://schemas.openxmlformats.org/officeDocument/2006/relationships/hyperlink" Target="https://www.grossmann-berger.de/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en/well-informed/market-reports-and-price-trends" TargetMode="External"/><Relationship Id="rId14" Type="http://schemas.openxmlformats.org/officeDocument/2006/relationships/hyperlink" Target="https://www.grossmann-berger.de/en/privac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AB01-EAC0-41EB-852E-2CB3BCB9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3</cp:revision>
  <cp:lastPrinted>2023-01-26T10:09:00Z</cp:lastPrinted>
  <dcterms:created xsi:type="dcterms:W3CDTF">2023-01-27T10:37:00Z</dcterms:created>
  <dcterms:modified xsi:type="dcterms:W3CDTF">2023-01-27T10:52:00Z</dcterms:modified>
</cp:coreProperties>
</file>