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F6DA" w14:textId="26043EC8" w:rsidR="00F87749" w:rsidRDefault="00C86C02" w:rsidP="000C770D">
      <w:pPr>
        <w:spacing w:after="0" w:line="360" w:lineRule="auto"/>
        <w:rPr>
          <w:rFonts w:ascii="Arial" w:hAnsi="Arial" w:cs="Arial"/>
          <w:b/>
        </w:rPr>
      </w:pPr>
      <w:r>
        <w:rPr>
          <w:rFonts w:ascii="Arial" w:hAnsi="Arial"/>
          <w:b/>
        </w:rPr>
        <w:t xml:space="preserve">Berlin: Investment </w:t>
      </w:r>
      <w:r w:rsidR="0035214D">
        <w:rPr>
          <w:rFonts w:ascii="Arial" w:hAnsi="Arial"/>
          <w:b/>
        </w:rPr>
        <w:t>m</w:t>
      </w:r>
      <w:r>
        <w:rPr>
          <w:rFonts w:ascii="Arial" w:hAnsi="Arial"/>
          <w:b/>
        </w:rPr>
        <w:t>arket, 1st-3rd quarters of 2022</w:t>
      </w:r>
    </w:p>
    <w:p w14:paraId="71D11671" w14:textId="6EAAC459" w:rsidR="00E47C25" w:rsidRPr="00F87749" w:rsidRDefault="0029474A" w:rsidP="000C770D">
      <w:pPr>
        <w:spacing w:after="0" w:line="360" w:lineRule="auto"/>
        <w:rPr>
          <w:rFonts w:ascii="Arial" w:hAnsi="Arial" w:cs="Arial"/>
          <w:b/>
        </w:rPr>
      </w:pPr>
      <w:r>
        <w:rPr>
          <w:rFonts w:ascii="Arial" w:hAnsi="Arial"/>
          <w:b/>
          <w:sz w:val="28"/>
          <w:szCs w:val="28"/>
        </w:rPr>
        <w:t>Investors continue to hesitate i</w:t>
      </w:r>
      <w:r w:rsidR="000D2B4A">
        <w:rPr>
          <w:rFonts w:ascii="Arial" w:hAnsi="Arial"/>
          <w:b/>
          <w:sz w:val="28"/>
          <w:szCs w:val="28"/>
        </w:rPr>
        <w:t>n</w:t>
      </w:r>
      <w:r>
        <w:rPr>
          <w:rFonts w:ascii="Arial" w:hAnsi="Arial"/>
          <w:b/>
          <w:sz w:val="28"/>
          <w:szCs w:val="28"/>
        </w:rPr>
        <w:t xml:space="preserve"> view of interest rates</w:t>
      </w:r>
    </w:p>
    <w:p w14:paraId="23842E4F" w14:textId="77777777" w:rsidR="00590903" w:rsidRPr="0090748B" w:rsidRDefault="00590903" w:rsidP="00590903">
      <w:pPr>
        <w:spacing w:after="0" w:line="360" w:lineRule="auto"/>
        <w:jc w:val="both"/>
        <w:rPr>
          <w:rFonts w:ascii="Arial" w:hAnsi="Arial" w:cs="Arial"/>
          <w:b/>
          <w:sz w:val="20"/>
          <w:szCs w:val="20"/>
        </w:rPr>
      </w:pPr>
    </w:p>
    <w:p w14:paraId="5A8B89F1" w14:textId="0BE93FD9" w:rsidR="0029474A" w:rsidRDefault="00FA50A7" w:rsidP="0029474A">
      <w:pPr>
        <w:spacing w:after="0" w:line="360" w:lineRule="auto"/>
        <w:rPr>
          <w:rFonts w:ascii="Arial" w:hAnsi="Arial" w:cs="Arial"/>
          <w:sz w:val="20"/>
          <w:szCs w:val="20"/>
        </w:rPr>
      </w:pPr>
      <w:r>
        <w:rPr>
          <w:rFonts w:ascii="Arial" w:hAnsi="Arial"/>
          <w:b/>
          <w:sz w:val="20"/>
          <w:szCs w:val="20"/>
        </w:rPr>
        <w:t>Berlin, 10 October 2022</w:t>
      </w:r>
      <w:r>
        <w:rPr>
          <w:rFonts w:ascii="Arial" w:hAnsi="Arial"/>
          <w:sz w:val="20"/>
          <w:szCs w:val="20"/>
        </w:rPr>
        <w:t xml:space="preserve"> – By the end of the 3rd quarter a total of €6.3bn had been invested in commercial properties in Berlin; the volume of transactions thus slipped by 2 % year on year (€6.4bn). </w:t>
      </w:r>
      <w:r>
        <w:rPr>
          <w:rFonts w:ascii="Arial" w:hAnsi="Arial"/>
          <w:i/>
          <w:sz w:val="20"/>
          <w:szCs w:val="20"/>
        </w:rPr>
        <w:t>“The combination of rising interest rates and construction costs, supply chain problems and the prevailing geopolitical tensions is clearly impacting Berlin’s investment market. Despite strong letting figures and the ongoing availability of cash, investors hesitate to conclude transactions,”</w:t>
      </w:r>
      <w:r>
        <w:rPr>
          <w:rFonts w:ascii="Arial" w:hAnsi="Arial"/>
          <w:sz w:val="20"/>
          <w:szCs w:val="20"/>
        </w:rPr>
        <w:t xml:space="preserve"> explains </w:t>
      </w:r>
      <w:r>
        <w:rPr>
          <w:rFonts w:ascii="Arial" w:hAnsi="Arial"/>
          <w:b/>
          <w:sz w:val="20"/>
          <w:szCs w:val="20"/>
        </w:rPr>
        <w:t>Sandra Ludwig,</w:t>
      </w:r>
      <w:r>
        <w:rPr>
          <w:rFonts w:ascii="Arial" w:hAnsi="Arial"/>
          <w:sz w:val="20"/>
          <w:szCs w:val="20"/>
        </w:rPr>
        <w:t xml:space="preserve"> managing director of Grossmann &amp; Berger, member of German Property Partners (GPP).</w:t>
      </w:r>
    </w:p>
    <w:p w14:paraId="3637BC04" w14:textId="77777777" w:rsidR="0029474A" w:rsidRDefault="0029474A" w:rsidP="0029474A">
      <w:pPr>
        <w:spacing w:after="0" w:line="360" w:lineRule="auto"/>
        <w:rPr>
          <w:rFonts w:ascii="Arial" w:hAnsi="Arial" w:cs="Arial"/>
          <w:sz w:val="20"/>
          <w:szCs w:val="20"/>
        </w:rPr>
      </w:pPr>
    </w:p>
    <w:p w14:paraId="1334BAA6" w14:textId="5D055638" w:rsidR="0029474A" w:rsidRPr="00783002" w:rsidRDefault="0029474A" w:rsidP="0029474A">
      <w:pPr>
        <w:spacing w:after="0" w:line="360" w:lineRule="auto"/>
        <w:rPr>
          <w:rFonts w:ascii="Arial" w:hAnsi="Arial" w:cs="Arial"/>
          <w:sz w:val="20"/>
          <w:szCs w:val="20"/>
        </w:rPr>
      </w:pPr>
      <w:r>
        <w:rPr>
          <w:rFonts w:ascii="Arial" w:hAnsi="Arial"/>
          <w:sz w:val="20"/>
          <w:szCs w:val="20"/>
        </w:rPr>
        <w:t xml:space="preserve">Nevertheless, the total traded was well above the ten-year average of €4.8bn. The 3rd-quarter result owes much to six transactions in which properties sold for more than €100m. Between July and September sales of commercial real estate totalled €2.2bn or close to 5 % higher than in the same quarter a year ago (€2.1bn). </w:t>
      </w:r>
      <w:r>
        <w:rPr>
          <w:rFonts w:ascii="Arial" w:hAnsi="Arial"/>
          <w:i/>
          <w:sz w:val="20"/>
          <w:szCs w:val="20"/>
        </w:rPr>
        <w:t>“Demand for logistics and office real estate in Berlin’s top locations remains high. However, investors hesitate to make a purchase decision due to a shortage of reference transactions,”</w:t>
      </w:r>
      <w:r>
        <w:rPr>
          <w:rFonts w:ascii="Arial" w:hAnsi="Arial"/>
          <w:sz w:val="20"/>
          <w:szCs w:val="20"/>
        </w:rPr>
        <w:t xml:space="preserve"> days </w:t>
      </w:r>
      <w:r>
        <w:rPr>
          <w:rFonts w:ascii="Arial" w:hAnsi="Arial"/>
          <w:b/>
          <w:sz w:val="20"/>
          <w:szCs w:val="20"/>
        </w:rPr>
        <w:t>Ludwig</w:t>
      </w:r>
      <w:r>
        <w:rPr>
          <w:rFonts w:ascii="Arial" w:hAnsi="Arial"/>
          <w:sz w:val="20"/>
          <w:szCs w:val="20"/>
        </w:rPr>
        <w:t>.</w:t>
      </w:r>
    </w:p>
    <w:p w14:paraId="40A163F9" w14:textId="2028DBF8" w:rsidR="00A070B6" w:rsidRDefault="00A070B6" w:rsidP="0029474A">
      <w:pPr>
        <w:spacing w:after="0" w:line="360" w:lineRule="auto"/>
        <w:rPr>
          <w:rFonts w:ascii="Arial" w:hAnsi="Arial" w:cs="Arial"/>
          <w:sz w:val="20"/>
          <w:szCs w:val="20"/>
        </w:rPr>
      </w:pPr>
    </w:p>
    <w:p w14:paraId="030350E8" w14:textId="0E431C5C" w:rsidR="0039183F" w:rsidRPr="0039183F" w:rsidRDefault="00710607" w:rsidP="00E40EB7">
      <w:pPr>
        <w:spacing w:after="0" w:line="360" w:lineRule="auto"/>
        <w:textAlignment w:val="baseline"/>
        <w:rPr>
          <w:rFonts w:ascii="Arial" w:hAnsi="Arial" w:cs="Arial"/>
          <w:sz w:val="20"/>
          <w:szCs w:val="20"/>
        </w:rPr>
      </w:pPr>
      <w:r>
        <w:rPr>
          <w:rFonts w:ascii="Arial" w:hAnsi="Arial"/>
          <w:b/>
          <w:sz w:val="20"/>
          <w:szCs w:val="20"/>
        </w:rPr>
        <w:t xml:space="preserve">Market details: </w:t>
      </w:r>
    </w:p>
    <w:p w14:paraId="1D214A8C" w14:textId="3F537036" w:rsidR="003F4FE3" w:rsidRPr="008238F0" w:rsidRDefault="003F4FE3" w:rsidP="008238F0">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67 % of the total volume traded comprised property sales of more than €100m each. The 3rd-quarter sale of the “Voltair” office building played a large part in making this </w:t>
      </w:r>
      <w:r>
        <w:rPr>
          <w:rFonts w:ascii="Arial" w:hAnsi="Arial"/>
          <w:sz w:val="20"/>
          <w:szCs w:val="20"/>
          <w:u w:val="single"/>
        </w:rPr>
        <w:t>price category</w:t>
      </w:r>
      <w:r>
        <w:rPr>
          <w:rFonts w:ascii="Arial" w:hAnsi="Arial"/>
          <w:sz w:val="20"/>
          <w:szCs w:val="20"/>
        </w:rPr>
        <w:t xml:space="preserve"> so predominant. The next two price categories, €51m to €100m and €26m to €50m, played marginal roles only, taking 16 % and 12 % of the market respectively.</w:t>
      </w:r>
    </w:p>
    <w:p w14:paraId="60F33593" w14:textId="7F0496E3" w:rsidR="003F4FE3" w:rsidRPr="008238F0" w:rsidRDefault="003F4FE3" w:rsidP="008238F0">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Year on year the market share of </w:t>
      </w:r>
      <w:r>
        <w:rPr>
          <w:rFonts w:ascii="Arial" w:hAnsi="Arial"/>
          <w:sz w:val="20"/>
          <w:szCs w:val="20"/>
          <w:u w:val="single"/>
        </w:rPr>
        <w:t>portfolio sales</w:t>
      </w:r>
      <w:r>
        <w:rPr>
          <w:rFonts w:ascii="Arial" w:hAnsi="Arial"/>
          <w:sz w:val="20"/>
          <w:szCs w:val="20"/>
        </w:rPr>
        <w:t xml:space="preserve"> climbed to 30 %, an increase of 117 % (14 % in Q3/2021).</w:t>
      </w:r>
    </w:p>
    <w:p w14:paraId="55DE408B" w14:textId="7D81CEE2" w:rsidR="003F4FE3" w:rsidRPr="008238F0" w:rsidRDefault="00776CA6" w:rsidP="008238F0">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Comprising 71 % of the market, office properties accounted for the lion’s share of commercial real estate traded, an increase of 86 % compared with the same quarter a year before (38 %). Mixed-use properties were the only other </w:t>
      </w:r>
      <w:r>
        <w:rPr>
          <w:rFonts w:ascii="Arial" w:hAnsi="Arial"/>
          <w:sz w:val="20"/>
          <w:szCs w:val="20"/>
          <w:u w:val="single"/>
        </w:rPr>
        <w:t>asset class</w:t>
      </w:r>
      <w:r>
        <w:rPr>
          <w:rFonts w:ascii="Arial" w:hAnsi="Arial"/>
          <w:sz w:val="20"/>
          <w:szCs w:val="20"/>
        </w:rPr>
        <w:t xml:space="preserve"> to post a two-figure share of the total traded (10 %).</w:t>
      </w:r>
    </w:p>
    <w:p w14:paraId="580C67C0" w14:textId="521B1B05" w:rsidR="00F54F30" w:rsidRPr="008238F0" w:rsidRDefault="003F4FE3" w:rsidP="00F54F30">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u w:val="single"/>
        </w:rPr>
        <w:t>International buyers</w:t>
      </w:r>
      <w:r>
        <w:rPr>
          <w:rFonts w:ascii="Arial" w:hAnsi="Arial"/>
          <w:sz w:val="20"/>
          <w:szCs w:val="20"/>
        </w:rPr>
        <w:t xml:space="preserve"> were very active on the market, accounting for 70 % of investment in Berlin real estate (Q3 2021: 62 %).</w:t>
      </w:r>
    </w:p>
    <w:p w14:paraId="05FC4BCF" w14:textId="6C46D88E" w:rsidR="00192A39" w:rsidRPr="00F12820" w:rsidRDefault="00F54F30" w:rsidP="00F12820">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Professionals’ pension schemes and pension funds were the biggest group of </w:t>
      </w:r>
      <w:r>
        <w:rPr>
          <w:rFonts w:ascii="Arial" w:hAnsi="Arial"/>
          <w:sz w:val="20"/>
          <w:szCs w:val="20"/>
          <w:u w:val="single"/>
        </w:rPr>
        <w:t>buyers,</w:t>
      </w:r>
      <w:r>
        <w:rPr>
          <w:rFonts w:ascii="Arial" w:hAnsi="Arial"/>
          <w:sz w:val="20"/>
          <w:szCs w:val="20"/>
        </w:rPr>
        <w:t xml:space="preserve"> behind 17% of the total traded. Fund managers and open-ended property funds followed with 16 % and 12 % respectively.</w:t>
      </w:r>
    </w:p>
    <w:p w14:paraId="027DE88D" w14:textId="283B6B97" w:rsidR="00192A39" w:rsidRPr="008238F0" w:rsidRDefault="00192A39" w:rsidP="008238F0">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As in the prior year, developers were the most active </w:t>
      </w:r>
      <w:r>
        <w:rPr>
          <w:rFonts w:ascii="Arial" w:hAnsi="Arial"/>
          <w:sz w:val="20"/>
          <w:szCs w:val="20"/>
          <w:u w:val="single"/>
        </w:rPr>
        <w:t>vendors</w:t>
      </w:r>
      <w:r>
        <w:rPr>
          <w:rFonts w:ascii="Arial" w:hAnsi="Arial"/>
          <w:sz w:val="20"/>
          <w:szCs w:val="20"/>
        </w:rPr>
        <w:t>, featuring in 17 % of the volume traded, followed by fund managers (16 %) and listed property investment AGs/REITs (13 %).</w:t>
      </w:r>
    </w:p>
    <w:p w14:paraId="6E193828" w14:textId="088B039C" w:rsidR="00192A39" w:rsidRPr="008238F0" w:rsidRDefault="00192A39" w:rsidP="008D0A26">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Year on year </w:t>
      </w:r>
      <w:r>
        <w:rPr>
          <w:rFonts w:ascii="Arial" w:hAnsi="Arial"/>
          <w:sz w:val="20"/>
          <w:szCs w:val="20"/>
          <w:u w:val="single"/>
        </w:rPr>
        <w:t>prime yields</w:t>
      </w:r>
      <w:r>
        <w:rPr>
          <w:rFonts w:ascii="Arial" w:hAnsi="Arial"/>
          <w:sz w:val="20"/>
          <w:szCs w:val="20"/>
        </w:rPr>
        <w:t xml:space="preserve"> on office properties (2.9 %) and on commercial buildings (3.05 %) grew by 0.25 percentage points. The prime yield on logistics properties fell by 0.2 percentage points to 3.3 %, but rose by 0.1 percentage points against the previous quarter.</w:t>
      </w:r>
    </w:p>
    <w:p w14:paraId="051850D7" w14:textId="00F60434" w:rsidR="00C4157B" w:rsidRPr="00C4157B" w:rsidRDefault="001C0EEE" w:rsidP="00C4157B">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lastRenderedPageBreak/>
        <w:t xml:space="preserve">At 21 % of the total, a higher volume of properties was traded in Berlin-Mitte than in other </w:t>
      </w:r>
      <w:r>
        <w:rPr>
          <w:rFonts w:ascii="Arial" w:hAnsi="Arial"/>
          <w:sz w:val="20"/>
          <w:szCs w:val="20"/>
          <w:u w:val="single"/>
        </w:rPr>
        <w:t>sub-markets</w:t>
      </w:r>
      <w:r>
        <w:rPr>
          <w:rFonts w:ascii="Arial" w:hAnsi="Arial"/>
          <w:sz w:val="20"/>
          <w:szCs w:val="20"/>
        </w:rPr>
        <w:t>.  Here too the strong 3rd-quarter result was attributable to the sale of the “Voltair” office building. Potsdamer/Leipziger Platz and Mitte 1a followed with market shares of 12 % and 10 %.</w:t>
      </w:r>
    </w:p>
    <w:p w14:paraId="0795C973" w14:textId="6434A546" w:rsidR="00C7341F" w:rsidRPr="008F0C4C" w:rsidRDefault="0092694E" w:rsidP="008F0C4C">
      <w:pPr>
        <w:spacing w:after="0" w:line="360" w:lineRule="auto"/>
        <w:textAlignment w:val="baseline"/>
        <w:rPr>
          <w:rFonts w:ascii="Arial" w:hAnsi="Arial" w:cs="Arial"/>
          <w:sz w:val="20"/>
          <w:szCs w:val="20"/>
        </w:rPr>
      </w:pPr>
      <w:r>
        <w:rPr>
          <w:rFonts w:ascii="Arial" w:hAnsi="Arial"/>
          <w:noProof/>
          <w:color w:val="000000" w:themeColor="text1"/>
          <w:sz w:val="20"/>
          <w:szCs w:val="20"/>
          <w:lang w:val="de-DE" w:eastAsia="de-DE"/>
        </w:rPr>
        <w:drawing>
          <wp:anchor distT="0" distB="0" distL="114300" distR="114300" simplePos="0" relativeHeight="251658240" behindDoc="0" locked="0" layoutInCell="1" allowOverlap="1" wp14:anchorId="0AA66837" wp14:editId="5F5C2B47">
            <wp:simplePos x="0" y="0"/>
            <wp:positionH relativeFrom="column">
              <wp:posOffset>3261360</wp:posOffset>
            </wp:positionH>
            <wp:positionV relativeFrom="paragraph">
              <wp:posOffset>263525</wp:posOffset>
            </wp:positionV>
            <wp:extent cx="2809240" cy="2275840"/>
            <wp:effectExtent l="19050" t="19050" r="10160" b="1016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e\5_PresseMITTEILUNGEN\Marktbericht Investment BERLIN\2022\2022 Q2\Grafiken\TAV_Berlin_2022Q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09240" cy="2275840"/>
                    </a:xfrm>
                    <a:prstGeom prst="rect">
                      <a:avLst/>
                    </a:prstGeom>
                    <a:noFill/>
                    <a:ln w="3175">
                      <a:solidFill>
                        <a:schemeClr val="tx1"/>
                      </a:solidFill>
                    </a:ln>
                  </pic:spPr>
                </pic:pic>
              </a:graphicData>
            </a:graphic>
          </wp:anchor>
        </w:drawing>
      </w:r>
    </w:p>
    <w:tbl>
      <w:tblPr>
        <w:tblStyle w:val="TableGrid2"/>
        <w:tblpPr w:leftFromText="141" w:rightFromText="141" w:vertAnchor="text" w:horzAnchor="margin" w:tblpY="45"/>
        <w:tblW w:w="0" w:type="auto"/>
        <w:tblLook w:val="04A0" w:firstRow="1" w:lastRow="0" w:firstColumn="1" w:lastColumn="0" w:noHBand="0" w:noVBand="1"/>
      </w:tblPr>
      <w:tblGrid>
        <w:gridCol w:w="3964"/>
        <w:gridCol w:w="993"/>
      </w:tblGrid>
      <w:tr w:rsidR="00C7341F" w:rsidRPr="006F49D0" w14:paraId="2F4A79AC" w14:textId="77777777" w:rsidTr="00CF0163">
        <w:trPr>
          <w:trHeight w:val="283"/>
        </w:trPr>
        <w:tc>
          <w:tcPr>
            <w:tcW w:w="3964" w:type="dxa"/>
            <w:shd w:val="clear" w:color="auto" w:fill="000000" w:themeFill="text1"/>
          </w:tcPr>
          <w:p w14:paraId="185DEA24" w14:textId="1BB84E6A" w:rsidR="00C7341F" w:rsidRPr="004712BA" w:rsidRDefault="00C7341F" w:rsidP="00C86C02">
            <w:pPr>
              <w:widowControl w:val="0"/>
              <w:spacing w:before="60" w:after="60"/>
              <w:jc w:val="both"/>
              <w:rPr>
                <w:rFonts w:ascii="Arial" w:hAnsi="Arial" w:cs="Arial"/>
                <w:b/>
                <w:sz w:val="18"/>
                <w:szCs w:val="16"/>
              </w:rPr>
            </w:pPr>
            <w:r>
              <w:rPr>
                <w:rFonts w:ascii="Arial" w:hAnsi="Arial"/>
                <w:b/>
                <w:sz w:val="20"/>
                <w:szCs w:val="20"/>
              </w:rPr>
              <w:t>Investment market | Berlin</w:t>
            </w:r>
            <w:r>
              <w:t xml:space="preserve"> </w:t>
            </w:r>
            <w:r>
              <w:rPr>
                <w:rFonts w:ascii="Arial" w:hAnsi="Arial"/>
                <w:b/>
                <w:sz w:val="20"/>
                <w:szCs w:val="20"/>
              </w:rPr>
              <w:t>| 2022</w:t>
            </w:r>
          </w:p>
        </w:tc>
        <w:tc>
          <w:tcPr>
            <w:tcW w:w="993" w:type="dxa"/>
            <w:shd w:val="clear" w:color="auto" w:fill="000000" w:themeFill="text1"/>
          </w:tcPr>
          <w:p w14:paraId="65EC24BE" w14:textId="6F722C78" w:rsidR="00C7341F" w:rsidRPr="004712BA" w:rsidRDefault="00C7341F" w:rsidP="00927886">
            <w:pPr>
              <w:widowControl w:val="0"/>
              <w:spacing w:before="60" w:after="60"/>
              <w:jc w:val="center"/>
              <w:rPr>
                <w:rFonts w:ascii="Arial" w:hAnsi="Arial" w:cs="Arial"/>
                <w:b/>
                <w:sz w:val="18"/>
                <w:szCs w:val="16"/>
              </w:rPr>
            </w:pPr>
            <w:r>
              <w:rPr>
                <w:rFonts w:ascii="Arial" w:hAnsi="Arial"/>
                <w:b/>
                <w:sz w:val="18"/>
                <w:szCs w:val="16"/>
              </w:rPr>
              <w:t>Q 1-3</w:t>
            </w:r>
          </w:p>
        </w:tc>
      </w:tr>
      <w:tr w:rsidR="00C7341F" w:rsidRPr="006F49D0" w14:paraId="42F788D0" w14:textId="77777777" w:rsidTr="00CF0163">
        <w:trPr>
          <w:trHeight w:val="193"/>
        </w:trPr>
        <w:tc>
          <w:tcPr>
            <w:tcW w:w="3964" w:type="dxa"/>
          </w:tcPr>
          <w:p w14:paraId="572A7D7F"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993" w:type="dxa"/>
            <w:vAlign w:val="center"/>
          </w:tcPr>
          <w:p w14:paraId="141D4BF4" w14:textId="6235BC67" w:rsidR="00C7341F" w:rsidRPr="00E771E0" w:rsidRDefault="00E66ED5" w:rsidP="00A32BC5">
            <w:pPr>
              <w:widowControl w:val="0"/>
              <w:spacing w:before="40" w:after="40"/>
              <w:jc w:val="right"/>
              <w:rPr>
                <w:rFonts w:ascii="Arial" w:hAnsi="Arial" w:cs="Arial"/>
                <w:sz w:val="18"/>
                <w:szCs w:val="16"/>
              </w:rPr>
            </w:pPr>
            <w:r>
              <w:rPr>
                <w:rFonts w:ascii="Arial" w:hAnsi="Arial"/>
                <w:sz w:val="18"/>
                <w:szCs w:val="16"/>
              </w:rPr>
              <w:t>6,300</w:t>
            </w:r>
          </w:p>
        </w:tc>
      </w:tr>
      <w:tr w:rsidR="00C7341F" w:rsidRPr="006F49D0" w14:paraId="77D40A98" w14:textId="77777777" w:rsidTr="00CF0163">
        <w:trPr>
          <w:trHeight w:val="283"/>
        </w:trPr>
        <w:tc>
          <w:tcPr>
            <w:tcW w:w="3964" w:type="dxa"/>
          </w:tcPr>
          <w:p w14:paraId="2D485DBE"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against prior yr [%]</w:t>
            </w:r>
          </w:p>
        </w:tc>
        <w:tc>
          <w:tcPr>
            <w:tcW w:w="993" w:type="dxa"/>
            <w:vAlign w:val="center"/>
          </w:tcPr>
          <w:p w14:paraId="4C41151E" w14:textId="369F6F13" w:rsidR="00C7341F" w:rsidRPr="00E771E0" w:rsidRDefault="00A32BC5" w:rsidP="00E66ED5">
            <w:pPr>
              <w:widowControl w:val="0"/>
              <w:spacing w:before="40" w:after="40"/>
              <w:jc w:val="right"/>
              <w:rPr>
                <w:rFonts w:ascii="Arial" w:hAnsi="Arial" w:cs="Arial"/>
                <w:sz w:val="18"/>
                <w:szCs w:val="16"/>
              </w:rPr>
            </w:pPr>
            <w:r>
              <w:rPr>
                <w:rFonts w:ascii="Arial" w:hAnsi="Arial"/>
                <w:sz w:val="18"/>
                <w:szCs w:val="16"/>
              </w:rPr>
              <w:t>-2</w:t>
            </w:r>
          </w:p>
        </w:tc>
      </w:tr>
      <w:tr w:rsidR="00C7341F" w:rsidRPr="006F49D0" w14:paraId="297EB5D3" w14:textId="77777777" w:rsidTr="00CF0163">
        <w:trPr>
          <w:trHeight w:val="283"/>
        </w:trPr>
        <w:tc>
          <w:tcPr>
            <w:tcW w:w="3964" w:type="dxa"/>
          </w:tcPr>
          <w:p w14:paraId="4DA1F0EA" w14:textId="77777777" w:rsidR="00C7341F" w:rsidRPr="00CF57DD" w:rsidRDefault="00C7341F" w:rsidP="00927886">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993" w:type="dxa"/>
            <w:vAlign w:val="center"/>
          </w:tcPr>
          <w:p w14:paraId="58A41321" w14:textId="2E1693F0" w:rsidR="00C7341F" w:rsidRPr="00E771E0" w:rsidRDefault="00A32BC5" w:rsidP="00E66ED5">
            <w:pPr>
              <w:widowControl w:val="0"/>
              <w:spacing w:before="40" w:after="40"/>
              <w:jc w:val="right"/>
              <w:rPr>
                <w:rFonts w:ascii="Arial" w:hAnsi="Arial" w:cs="Arial"/>
                <w:sz w:val="18"/>
                <w:szCs w:val="16"/>
              </w:rPr>
            </w:pPr>
            <w:r>
              <w:rPr>
                <w:rFonts w:ascii="Arial" w:hAnsi="Arial"/>
                <w:sz w:val="18"/>
                <w:szCs w:val="16"/>
              </w:rPr>
              <w:t>70</w:t>
            </w:r>
          </w:p>
        </w:tc>
      </w:tr>
      <w:tr w:rsidR="00C7341F" w:rsidRPr="006F49D0" w14:paraId="7A04E1EC" w14:textId="77777777" w:rsidTr="00CF0163">
        <w:trPr>
          <w:trHeight w:val="283"/>
        </w:trPr>
        <w:tc>
          <w:tcPr>
            <w:tcW w:w="3964" w:type="dxa"/>
          </w:tcPr>
          <w:p w14:paraId="7D123B83"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993" w:type="dxa"/>
            <w:vAlign w:val="center"/>
          </w:tcPr>
          <w:p w14:paraId="3F8204F4" w14:textId="0568087C" w:rsidR="00C7341F" w:rsidRPr="004B1B8E" w:rsidRDefault="00384022" w:rsidP="00E66ED5">
            <w:pPr>
              <w:widowControl w:val="0"/>
              <w:spacing w:before="40" w:after="40"/>
              <w:jc w:val="right"/>
              <w:rPr>
                <w:rFonts w:ascii="Arial" w:hAnsi="Arial" w:cs="Arial"/>
                <w:sz w:val="18"/>
                <w:szCs w:val="16"/>
              </w:rPr>
            </w:pPr>
            <w:r>
              <w:rPr>
                <w:rFonts w:ascii="Arial" w:hAnsi="Arial"/>
                <w:sz w:val="18"/>
                <w:szCs w:val="16"/>
              </w:rPr>
              <w:t>2.9</w:t>
            </w:r>
          </w:p>
        </w:tc>
      </w:tr>
      <w:tr w:rsidR="00C7341F" w14:paraId="412D1554" w14:textId="77777777" w:rsidTr="00CF0163">
        <w:trPr>
          <w:trHeight w:val="283"/>
        </w:trPr>
        <w:tc>
          <w:tcPr>
            <w:tcW w:w="3964" w:type="dxa"/>
          </w:tcPr>
          <w:p w14:paraId="285C2069" w14:textId="77777777" w:rsidR="00C7341F" w:rsidRPr="004B1B8E" w:rsidRDefault="00C7341F" w:rsidP="00927886">
            <w:pPr>
              <w:widowControl w:val="0"/>
              <w:spacing w:before="40" w:after="40"/>
              <w:jc w:val="both"/>
              <w:rPr>
                <w:rFonts w:ascii="Arial" w:hAnsi="Arial" w:cs="Arial"/>
                <w:sz w:val="18"/>
                <w:szCs w:val="16"/>
              </w:rPr>
            </w:pPr>
            <w:r>
              <w:rPr>
                <w:rFonts w:ascii="Arial" w:hAnsi="Arial"/>
                <w:sz w:val="18"/>
                <w:szCs w:val="16"/>
              </w:rPr>
              <w:t>against prior yr [percentage points]</w:t>
            </w:r>
          </w:p>
        </w:tc>
        <w:tc>
          <w:tcPr>
            <w:tcW w:w="993" w:type="dxa"/>
            <w:vAlign w:val="center"/>
          </w:tcPr>
          <w:p w14:paraId="7154116A" w14:textId="25C6854E" w:rsidR="00C7341F" w:rsidRPr="004B1B8E" w:rsidRDefault="00A32BC5" w:rsidP="00A32BC5">
            <w:pPr>
              <w:widowControl w:val="0"/>
              <w:spacing w:before="40" w:after="40"/>
              <w:jc w:val="right"/>
              <w:rPr>
                <w:rFonts w:ascii="Arial" w:hAnsi="Arial" w:cs="Arial"/>
                <w:sz w:val="18"/>
                <w:szCs w:val="16"/>
              </w:rPr>
            </w:pPr>
            <w:r>
              <w:rPr>
                <w:rFonts w:ascii="Arial" w:hAnsi="Arial"/>
                <w:sz w:val="18"/>
                <w:szCs w:val="16"/>
              </w:rPr>
              <w:t>+0.25</w:t>
            </w:r>
          </w:p>
        </w:tc>
      </w:tr>
      <w:tr w:rsidR="00C7341F" w:rsidRPr="006F49D0" w14:paraId="1F3F0D4C" w14:textId="77777777" w:rsidTr="00CF0163">
        <w:trPr>
          <w:trHeight w:val="283"/>
        </w:trPr>
        <w:tc>
          <w:tcPr>
            <w:tcW w:w="3964" w:type="dxa"/>
          </w:tcPr>
          <w:p w14:paraId="7998213C"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993" w:type="dxa"/>
            <w:vAlign w:val="center"/>
          </w:tcPr>
          <w:p w14:paraId="5C400650" w14:textId="4BF4CA8A" w:rsidR="00C7341F" w:rsidRPr="004B1B8E" w:rsidRDefault="00A32BC5" w:rsidP="00927886">
            <w:pPr>
              <w:widowControl w:val="0"/>
              <w:spacing w:before="40" w:after="40"/>
              <w:jc w:val="right"/>
              <w:rPr>
                <w:rFonts w:ascii="Arial" w:hAnsi="Arial" w:cs="Arial"/>
                <w:sz w:val="18"/>
                <w:szCs w:val="16"/>
              </w:rPr>
            </w:pPr>
            <w:r>
              <w:rPr>
                <w:rFonts w:ascii="Arial" w:hAnsi="Arial"/>
                <w:sz w:val="18"/>
                <w:szCs w:val="16"/>
              </w:rPr>
              <w:t>3.05</w:t>
            </w:r>
          </w:p>
        </w:tc>
      </w:tr>
      <w:tr w:rsidR="00C7341F" w14:paraId="7E04E2D1" w14:textId="77777777" w:rsidTr="00CF0163">
        <w:trPr>
          <w:trHeight w:val="283"/>
        </w:trPr>
        <w:tc>
          <w:tcPr>
            <w:tcW w:w="3964" w:type="dxa"/>
          </w:tcPr>
          <w:p w14:paraId="50EDD51B" w14:textId="77777777" w:rsidR="00C7341F" w:rsidRPr="004B1B8E" w:rsidRDefault="00C7341F" w:rsidP="00927886">
            <w:pPr>
              <w:widowControl w:val="0"/>
              <w:spacing w:before="40" w:after="40"/>
              <w:jc w:val="both"/>
              <w:rPr>
                <w:rFonts w:ascii="Arial" w:hAnsi="Arial" w:cs="Arial"/>
                <w:sz w:val="18"/>
                <w:szCs w:val="16"/>
              </w:rPr>
            </w:pPr>
            <w:r>
              <w:rPr>
                <w:rFonts w:ascii="Arial" w:hAnsi="Arial"/>
                <w:sz w:val="18"/>
                <w:szCs w:val="16"/>
              </w:rPr>
              <w:t>against prior yr [percentage points]</w:t>
            </w:r>
          </w:p>
        </w:tc>
        <w:tc>
          <w:tcPr>
            <w:tcW w:w="993" w:type="dxa"/>
            <w:vAlign w:val="center"/>
          </w:tcPr>
          <w:p w14:paraId="4F154500" w14:textId="031A1E78" w:rsidR="00C7341F" w:rsidRPr="004B1B8E" w:rsidRDefault="00A32BC5" w:rsidP="00A32BC5">
            <w:pPr>
              <w:widowControl w:val="0"/>
              <w:spacing w:before="40" w:after="40"/>
              <w:jc w:val="right"/>
              <w:rPr>
                <w:rFonts w:ascii="Arial" w:hAnsi="Arial" w:cs="Arial"/>
                <w:sz w:val="18"/>
                <w:szCs w:val="16"/>
              </w:rPr>
            </w:pPr>
            <w:r>
              <w:rPr>
                <w:rFonts w:ascii="Arial" w:hAnsi="Arial"/>
                <w:sz w:val="18"/>
                <w:szCs w:val="16"/>
              </w:rPr>
              <w:t>+0.25</w:t>
            </w:r>
          </w:p>
        </w:tc>
      </w:tr>
      <w:tr w:rsidR="00C7341F" w:rsidRPr="006F49D0" w14:paraId="661023F9" w14:textId="77777777" w:rsidTr="00CF0163">
        <w:trPr>
          <w:trHeight w:val="283"/>
        </w:trPr>
        <w:tc>
          <w:tcPr>
            <w:tcW w:w="3964" w:type="dxa"/>
          </w:tcPr>
          <w:p w14:paraId="1C7E799E"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993" w:type="dxa"/>
            <w:vAlign w:val="center"/>
          </w:tcPr>
          <w:p w14:paraId="3B0C6875" w14:textId="0733745B" w:rsidR="00C7341F" w:rsidRPr="004B1B8E" w:rsidRDefault="00384022" w:rsidP="00A32BC5">
            <w:pPr>
              <w:widowControl w:val="0"/>
              <w:spacing w:before="40" w:after="40"/>
              <w:jc w:val="right"/>
              <w:rPr>
                <w:rFonts w:ascii="Arial" w:hAnsi="Arial" w:cs="Arial"/>
                <w:sz w:val="18"/>
                <w:szCs w:val="16"/>
              </w:rPr>
            </w:pPr>
            <w:r>
              <w:rPr>
                <w:rFonts w:ascii="Arial" w:hAnsi="Arial"/>
                <w:sz w:val="18"/>
                <w:szCs w:val="16"/>
              </w:rPr>
              <w:t>3.3</w:t>
            </w:r>
          </w:p>
        </w:tc>
      </w:tr>
      <w:tr w:rsidR="00C7341F" w14:paraId="63C42E15" w14:textId="77777777" w:rsidTr="00CF0163">
        <w:trPr>
          <w:trHeight w:val="283"/>
        </w:trPr>
        <w:tc>
          <w:tcPr>
            <w:tcW w:w="3964" w:type="dxa"/>
          </w:tcPr>
          <w:p w14:paraId="1440EEA3" w14:textId="77777777" w:rsidR="00C7341F" w:rsidRPr="004B1B8E" w:rsidRDefault="00C7341F" w:rsidP="00927886">
            <w:pPr>
              <w:widowControl w:val="0"/>
              <w:spacing w:before="40" w:after="40"/>
              <w:jc w:val="both"/>
              <w:rPr>
                <w:rFonts w:ascii="Arial" w:hAnsi="Arial" w:cs="Arial"/>
                <w:sz w:val="18"/>
                <w:szCs w:val="16"/>
              </w:rPr>
            </w:pPr>
            <w:r>
              <w:rPr>
                <w:rFonts w:ascii="Arial" w:hAnsi="Arial"/>
                <w:sz w:val="18"/>
                <w:szCs w:val="16"/>
              </w:rPr>
              <w:t>against prior yr [percentage points]</w:t>
            </w:r>
          </w:p>
        </w:tc>
        <w:tc>
          <w:tcPr>
            <w:tcW w:w="993" w:type="dxa"/>
            <w:vAlign w:val="center"/>
          </w:tcPr>
          <w:p w14:paraId="1A0F9B44" w14:textId="5467EE5B" w:rsidR="00C7341F" w:rsidRPr="004B1B8E" w:rsidRDefault="00384022" w:rsidP="00A32BC5">
            <w:pPr>
              <w:widowControl w:val="0"/>
              <w:spacing w:before="40" w:after="40"/>
              <w:jc w:val="right"/>
              <w:rPr>
                <w:rFonts w:ascii="Arial" w:hAnsi="Arial" w:cs="Arial"/>
                <w:sz w:val="18"/>
                <w:szCs w:val="16"/>
              </w:rPr>
            </w:pPr>
            <w:r>
              <w:rPr>
                <w:rFonts w:ascii="Arial" w:hAnsi="Arial"/>
                <w:sz w:val="18"/>
                <w:szCs w:val="16"/>
              </w:rPr>
              <w:t>-0.2</w:t>
            </w:r>
          </w:p>
        </w:tc>
      </w:tr>
      <w:tr w:rsidR="00C7341F" w:rsidRPr="006F49D0" w14:paraId="07A2DDCA" w14:textId="77777777" w:rsidTr="00CF0163">
        <w:trPr>
          <w:trHeight w:val="283"/>
        </w:trPr>
        <w:tc>
          <w:tcPr>
            <w:tcW w:w="3964" w:type="dxa"/>
            <w:tcBorders>
              <w:bottom w:val="single" w:sz="4" w:space="0" w:color="auto"/>
            </w:tcBorders>
          </w:tcPr>
          <w:p w14:paraId="7828C62D"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p>
        </w:tc>
        <w:tc>
          <w:tcPr>
            <w:tcW w:w="993" w:type="dxa"/>
            <w:tcBorders>
              <w:bottom w:val="single" w:sz="4" w:space="0" w:color="auto"/>
            </w:tcBorders>
            <w:vAlign w:val="center"/>
          </w:tcPr>
          <w:p w14:paraId="4F47916D" w14:textId="305F0C6A" w:rsidR="00C7341F" w:rsidRPr="004B1B8E" w:rsidRDefault="00384022" w:rsidP="00927886">
            <w:pPr>
              <w:widowControl w:val="0"/>
              <w:spacing w:before="40" w:after="40"/>
              <w:jc w:val="right"/>
              <w:rPr>
                <w:rFonts w:ascii="Arial" w:hAnsi="Arial" w:cs="Arial"/>
                <w:sz w:val="18"/>
                <w:szCs w:val="16"/>
              </w:rPr>
            </w:pPr>
            <w:r>
              <w:rPr>
                <w:rFonts w:ascii="Arial" w:hAnsi="Arial"/>
                <w:sz w:val="18"/>
                <w:szCs w:val="16"/>
              </w:rPr>
              <w:t>Offices</w:t>
            </w:r>
          </w:p>
        </w:tc>
      </w:tr>
      <w:tr w:rsidR="00C7341F" w:rsidRPr="006F49D0" w14:paraId="6440AD70" w14:textId="77777777" w:rsidTr="00CF0163">
        <w:trPr>
          <w:trHeight w:val="283"/>
        </w:trPr>
        <w:tc>
          <w:tcPr>
            <w:tcW w:w="3964" w:type="dxa"/>
            <w:tcBorders>
              <w:bottom w:val="single" w:sz="4" w:space="0" w:color="auto"/>
            </w:tcBorders>
          </w:tcPr>
          <w:p w14:paraId="0E234409"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993" w:type="dxa"/>
            <w:tcBorders>
              <w:bottom w:val="single" w:sz="4" w:space="0" w:color="auto"/>
            </w:tcBorders>
            <w:vAlign w:val="center"/>
          </w:tcPr>
          <w:p w14:paraId="79F5C2D7" w14:textId="66F086F3" w:rsidR="00C7341F" w:rsidRPr="004B1B8E" w:rsidRDefault="00586DAE" w:rsidP="00927886">
            <w:pPr>
              <w:widowControl w:val="0"/>
              <w:spacing w:before="40" w:after="40"/>
              <w:jc w:val="right"/>
              <w:rPr>
                <w:rFonts w:ascii="Arial" w:hAnsi="Arial" w:cs="Arial"/>
                <w:sz w:val="18"/>
                <w:szCs w:val="16"/>
              </w:rPr>
            </w:pPr>
            <w:r>
              <w:rPr>
                <w:rFonts w:ascii="Arial" w:hAnsi="Arial"/>
                <w:sz w:val="18"/>
                <w:szCs w:val="16"/>
              </w:rPr>
              <w:t>71</w:t>
            </w:r>
          </w:p>
        </w:tc>
      </w:tr>
    </w:tbl>
    <w:p w14:paraId="36DDD953" w14:textId="77777777" w:rsidR="00FD31EF" w:rsidRDefault="00FD31EF" w:rsidP="00BB4C96">
      <w:pPr>
        <w:rPr>
          <w:rFonts w:ascii="Arial" w:hAnsi="Arial" w:cs="Arial"/>
          <w:b/>
          <w:sz w:val="20"/>
          <w:szCs w:val="20"/>
        </w:rPr>
      </w:pPr>
    </w:p>
    <w:p w14:paraId="4582D23C" w14:textId="2891E896" w:rsidR="00C7341F" w:rsidRPr="00A0600B" w:rsidRDefault="00C7341F" w:rsidP="00BB4C96">
      <w:pPr>
        <w:rPr>
          <w:rFonts w:ascii="Arial" w:hAnsi="Arial" w:cs="Arial"/>
          <w:b/>
          <w:sz w:val="20"/>
          <w:szCs w:val="20"/>
        </w:rPr>
      </w:pPr>
      <w:r>
        <w:rPr>
          <w:rFonts w:ascii="Arial" w:hAnsi="Arial"/>
          <w:b/>
          <w:sz w:val="20"/>
          <w:szCs w:val="20"/>
        </w:rPr>
        <w:t xml:space="preserve">Selected top transactions | investments in Berlin | </w:t>
      </w:r>
      <w:r w:rsidR="0035214D">
        <w:rPr>
          <w:rFonts w:ascii="Arial" w:hAnsi="Arial"/>
          <w:b/>
          <w:sz w:val="20"/>
          <w:szCs w:val="20"/>
        </w:rPr>
        <w:t>Q 1-3</w:t>
      </w:r>
      <w:r>
        <w:rPr>
          <w:rFonts w:ascii="Arial" w:hAnsi="Arial"/>
          <w:b/>
          <w:sz w:val="20"/>
          <w:szCs w:val="20"/>
        </w:rPr>
        <w:t xml:space="preserve"> 2022</w:t>
      </w: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405"/>
        <w:gridCol w:w="1559"/>
        <w:gridCol w:w="1276"/>
        <w:gridCol w:w="1559"/>
        <w:gridCol w:w="1843"/>
        <w:gridCol w:w="1134"/>
      </w:tblGrid>
      <w:tr w:rsidR="00C7341F" w:rsidRPr="006F49D0" w14:paraId="4F21D6DF" w14:textId="77777777" w:rsidTr="00E40EB7">
        <w:trPr>
          <w:trHeight w:val="567"/>
        </w:trPr>
        <w:tc>
          <w:tcPr>
            <w:tcW w:w="2405" w:type="dxa"/>
            <w:shd w:val="clear" w:color="auto" w:fill="000000" w:themeFill="text1"/>
          </w:tcPr>
          <w:p w14:paraId="46C82216" w14:textId="77777777" w:rsidR="00C7341F" w:rsidRPr="00C7341F" w:rsidRDefault="00C7341F" w:rsidP="00BB4C96">
            <w:pPr>
              <w:spacing w:after="0"/>
              <w:jc w:val="center"/>
              <w:rPr>
                <w:rFonts w:ascii="Arial" w:hAnsi="Arial" w:cs="Arial"/>
                <w:b/>
                <w:color w:val="FFFFFF" w:themeColor="background1"/>
                <w:sz w:val="18"/>
                <w:szCs w:val="16"/>
              </w:rPr>
            </w:pPr>
            <w:r>
              <w:rPr>
                <w:rFonts w:ascii="Arial" w:hAnsi="Arial"/>
                <w:b/>
                <w:color w:val="FFFFFF" w:themeColor="background1"/>
                <w:sz w:val="18"/>
                <w:szCs w:val="16"/>
              </w:rPr>
              <w:t>Project/property</w:t>
            </w:r>
          </w:p>
          <w:p w14:paraId="06D07B1D" w14:textId="77777777" w:rsidR="00C7341F" w:rsidRPr="00C7341F" w:rsidRDefault="00C7341F" w:rsidP="00BB4C96">
            <w:pPr>
              <w:spacing w:after="0"/>
              <w:jc w:val="center"/>
              <w:rPr>
                <w:rFonts w:ascii="Arial" w:hAnsi="Arial" w:cs="Arial"/>
                <w:b/>
                <w:color w:val="FFFFFF" w:themeColor="background1"/>
                <w:sz w:val="18"/>
                <w:szCs w:val="16"/>
              </w:rPr>
            </w:pPr>
            <w:r>
              <w:rPr>
                <w:rFonts w:ascii="Arial" w:hAnsi="Arial"/>
                <w:b/>
                <w:color w:val="FFFFFF" w:themeColor="background1"/>
                <w:sz w:val="18"/>
                <w:szCs w:val="16"/>
              </w:rPr>
              <w:t>Street no.</w:t>
            </w:r>
          </w:p>
        </w:tc>
        <w:tc>
          <w:tcPr>
            <w:tcW w:w="1559" w:type="dxa"/>
            <w:shd w:val="clear" w:color="auto" w:fill="000000" w:themeFill="text1"/>
          </w:tcPr>
          <w:p w14:paraId="070FC834" w14:textId="6719E5AA" w:rsidR="00C7341F" w:rsidRPr="00C7341F" w:rsidRDefault="0012484F" w:rsidP="00BB4C96">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Sub-market</w:t>
            </w:r>
          </w:p>
        </w:tc>
        <w:tc>
          <w:tcPr>
            <w:tcW w:w="1276" w:type="dxa"/>
            <w:shd w:val="clear" w:color="auto" w:fill="000000" w:themeFill="text1"/>
          </w:tcPr>
          <w:p w14:paraId="03801D01" w14:textId="581FCAC3" w:rsidR="00C7341F" w:rsidRPr="00C7341F" w:rsidRDefault="0012484F" w:rsidP="00BB4C96">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Asset class</w:t>
            </w:r>
          </w:p>
        </w:tc>
        <w:tc>
          <w:tcPr>
            <w:tcW w:w="1559" w:type="dxa"/>
            <w:shd w:val="clear" w:color="auto" w:fill="000000" w:themeFill="text1"/>
          </w:tcPr>
          <w:p w14:paraId="64E565FC" w14:textId="77777777" w:rsidR="00C7341F" w:rsidRPr="00C7341F" w:rsidRDefault="00C7341F" w:rsidP="00BB4C96">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Buyer/investor</w:t>
            </w:r>
          </w:p>
        </w:tc>
        <w:tc>
          <w:tcPr>
            <w:tcW w:w="1843" w:type="dxa"/>
            <w:shd w:val="clear" w:color="auto" w:fill="000000" w:themeFill="text1"/>
          </w:tcPr>
          <w:p w14:paraId="4F865E58" w14:textId="77777777" w:rsidR="00C7341F" w:rsidRPr="00C7341F" w:rsidRDefault="00C7341F" w:rsidP="00BB4C96">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Vendor</w:t>
            </w:r>
          </w:p>
        </w:tc>
        <w:tc>
          <w:tcPr>
            <w:tcW w:w="1134" w:type="dxa"/>
            <w:shd w:val="clear" w:color="auto" w:fill="000000" w:themeFill="text1"/>
          </w:tcPr>
          <w:p w14:paraId="70DE4216" w14:textId="39935B56" w:rsidR="00C7341F" w:rsidRPr="00C7341F" w:rsidRDefault="00C7341F" w:rsidP="00BB4C96">
            <w:pPr>
              <w:widowControl w:val="0"/>
              <w:spacing w:before="60" w:after="0"/>
              <w:jc w:val="center"/>
              <w:rPr>
                <w:rFonts w:ascii="Arial" w:hAnsi="Arial" w:cs="Arial"/>
                <w:b/>
                <w:color w:val="FFFFFF" w:themeColor="background1"/>
                <w:sz w:val="18"/>
                <w:szCs w:val="16"/>
              </w:rPr>
            </w:pPr>
            <w:r>
              <w:rPr>
                <w:rFonts w:ascii="Arial" w:hAnsi="Arial"/>
                <w:b/>
                <w:color w:val="FFFFFF" w:themeColor="background1"/>
                <w:sz w:val="18"/>
                <w:szCs w:val="16"/>
              </w:rPr>
              <w:t>Purchase price*</w:t>
            </w:r>
          </w:p>
          <w:p w14:paraId="199A4A51" w14:textId="77777777" w:rsidR="00C7341F" w:rsidRPr="00C7341F" w:rsidRDefault="00C7341F" w:rsidP="00BB4C96">
            <w:pPr>
              <w:widowControl w:val="0"/>
              <w:spacing w:before="60" w:after="0"/>
              <w:jc w:val="center"/>
              <w:rPr>
                <w:rFonts w:ascii="Arial" w:hAnsi="Arial" w:cs="Arial"/>
                <w:b/>
                <w:color w:val="FFFFFF" w:themeColor="background1"/>
                <w:sz w:val="18"/>
                <w:szCs w:val="16"/>
              </w:rPr>
            </w:pPr>
            <w:r>
              <w:rPr>
                <w:rFonts w:ascii="Arial" w:hAnsi="Arial"/>
                <w:color w:val="FFFFFF" w:themeColor="background1"/>
                <w:sz w:val="18"/>
                <w:szCs w:val="16"/>
              </w:rPr>
              <w:t>[approx. €m]</w:t>
            </w:r>
          </w:p>
        </w:tc>
      </w:tr>
      <w:tr w:rsidR="00A32BC5" w:rsidRPr="00F2414C" w14:paraId="2F3AD57F" w14:textId="77777777" w:rsidTr="00E40EB7">
        <w:trPr>
          <w:trHeight w:val="567"/>
        </w:trPr>
        <w:tc>
          <w:tcPr>
            <w:tcW w:w="2405" w:type="dxa"/>
            <w:shd w:val="clear" w:color="auto" w:fill="auto"/>
            <w:vAlign w:val="center"/>
          </w:tcPr>
          <w:p w14:paraId="294DDE95" w14:textId="446DA720" w:rsidR="00A32BC5" w:rsidRDefault="00A32BC5" w:rsidP="00BB4C9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“Sony Center”, </w:t>
            </w:r>
            <w:r>
              <w:rPr>
                <w:rFonts w:ascii="Arial" w:hAnsi="Arial"/>
                <w:color w:val="000000" w:themeColor="text1"/>
                <w:sz w:val="18"/>
                <w:szCs w:val="18"/>
              </w:rPr>
              <w:br/>
              <w:t>Potsdamer Platz 2</w:t>
            </w:r>
          </w:p>
        </w:tc>
        <w:tc>
          <w:tcPr>
            <w:tcW w:w="1559" w:type="dxa"/>
            <w:shd w:val="clear" w:color="auto" w:fill="auto"/>
            <w:vAlign w:val="center"/>
          </w:tcPr>
          <w:p w14:paraId="2B60B805" w14:textId="4E774593" w:rsidR="00A32BC5" w:rsidRDefault="001E76C4" w:rsidP="00BB4C96">
            <w:pPr>
              <w:widowControl w:val="0"/>
              <w:spacing w:after="0"/>
              <w:rPr>
                <w:rFonts w:ascii="Arial" w:hAnsi="Arial" w:cs="Arial"/>
                <w:color w:val="000000" w:themeColor="text1"/>
                <w:sz w:val="18"/>
                <w:szCs w:val="18"/>
              </w:rPr>
            </w:pPr>
            <w:r>
              <w:rPr>
                <w:rFonts w:ascii="Arial" w:hAnsi="Arial"/>
                <w:color w:val="000000" w:themeColor="text1"/>
                <w:sz w:val="18"/>
                <w:szCs w:val="18"/>
              </w:rPr>
              <w:t>Potsdamer-/Leipziger Platz</w:t>
            </w:r>
          </w:p>
        </w:tc>
        <w:tc>
          <w:tcPr>
            <w:tcW w:w="1276" w:type="dxa"/>
            <w:shd w:val="clear" w:color="auto" w:fill="auto"/>
            <w:vAlign w:val="center"/>
          </w:tcPr>
          <w:p w14:paraId="38807301" w14:textId="378A4407" w:rsidR="00A32BC5" w:rsidRDefault="001E76C4" w:rsidP="00BB4C96">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559" w:type="dxa"/>
            <w:shd w:val="clear" w:color="auto" w:fill="auto"/>
            <w:vAlign w:val="center"/>
          </w:tcPr>
          <w:p w14:paraId="32C8C960" w14:textId="43E12DF5" w:rsidR="00A32BC5" w:rsidRPr="00210B56" w:rsidRDefault="001E76C4" w:rsidP="00BB4C96">
            <w:pPr>
              <w:widowControl w:val="0"/>
              <w:spacing w:after="0"/>
              <w:rPr>
                <w:rFonts w:ascii="Arial" w:hAnsi="Arial" w:cs="Arial"/>
                <w:sz w:val="18"/>
                <w:szCs w:val="18"/>
              </w:rPr>
            </w:pPr>
            <w:r>
              <w:rPr>
                <w:rFonts w:ascii="Arial" w:hAnsi="Arial"/>
                <w:sz w:val="18"/>
                <w:szCs w:val="18"/>
              </w:rPr>
              <w:t>Norwegian Government Pension Fund Global</w:t>
            </w:r>
          </w:p>
        </w:tc>
        <w:tc>
          <w:tcPr>
            <w:tcW w:w="1843" w:type="dxa"/>
            <w:shd w:val="clear" w:color="auto" w:fill="auto"/>
            <w:vAlign w:val="center"/>
          </w:tcPr>
          <w:p w14:paraId="5BE243D0" w14:textId="27D5C93F" w:rsidR="00A32BC5" w:rsidRPr="00210B56" w:rsidRDefault="001E76C4" w:rsidP="00BB4C9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Oxford Properties/Madison International Realty </w:t>
            </w:r>
          </w:p>
        </w:tc>
        <w:tc>
          <w:tcPr>
            <w:tcW w:w="1134" w:type="dxa"/>
            <w:shd w:val="clear" w:color="auto" w:fill="auto"/>
            <w:vAlign w:val="center"/>
          </w:tcPr>
          <w:p w14:paraId="12505789" w14:textId="2D641C3B" w:rsidR="00A32BC5" w:rsidRDefault="001E76C4" w:rsidP="00BB4C96">
            <w:pPr>
              <w:widowControl w:val="0"/>
              <w:spacing w:after="0"/>
              <w:jc w:val="right"/>
              <w:rPr>
                <w:rFonts w:ascii="Arial" w:hAnsi="Arial" w:cs="Arial"/>
                <w:color w:val="000000" w:themeColor="text1"/>
                <w:sz w:val="18"/>
                <w:szCs w:val="18"/>
              </w:rPr>
            </w:pPr>
            <w:r>
              <w:rPr>
                <w:rFonts w:ascii="Arial" w:hAnsi="Arial"/>
                <w:color w:val="000000" w:themeColor="text1"/>
                <w:sz w:val="18"/>
                <w:szCs w:val="18"/>
              </w:rPr>
              <w:t>677</w:t>
            </w:r>
          </w:p>
        </w:tc>
      </w:tr>
      <w:tr w:rsidR="00AF41DF" w:rsidRPr="00F2414C" w14:paraId="3229A735" w14:textId="77777777" w:rsidTr="00E40EB7">
        <w:trPr>
          <w:trHeight w:val="567"/>
        </w:trPr>
        <w:tc>
          <w:tcPr>
            <w:tcW w:w="2405" w:type="dxa"/>
            <w:shd w:val="clear" w:color="auto" w:fill="D9D9D9" w:themeFill="background1" w:themeFillShade="D9"/>
            <w:vAlign w:val="center"/>
          </w:tcPr>
          <w:p w14:paraId="06EFB4A4" w14:textId="53BD8DD5" w:rsidR="00AF41DF" w:rsidRDefault="00AF41DF" w:rsidP="00BB4C9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“Voltair”, </w:t>
            </w:r>
            <w:r>
              <w:t xml:space="preserve"> </w:t>
            </w:r>
            <w:r>
              <w:rPr>
                <w:rFonts w:ascii="Arial" w:hAnsi="Arial"/>
                <w:color w:val="000000" w:themeColor="text1"/>
                <w:sz w:val="18"/>
                <w:szCs w:val="18"/>
              </w:rPr>
              <w:t>Voltairestrasse 2a</w:t>
            </w:r>
          </w:p>
        </w:tc>
        <w:tc>
          <w:tcPr>
            <w:tcW w:w="1559" w:type="dxa"/>
            <w:shd w:val="clear" w:color="auto" w:fill="D9D9D9" w:themeFill="background1" w:themeFillShade="D9"/>
            <w:vAlign w:val="center"/>
          </w:tcPr>
          <w:p w14:paraId="34F1B3AC" w14:textId="240124B6" w:rsidR="00AF41DF" w:rsidRDefault="00AF41DF" w:rsidP="00BB4C96">
            <w:pPr>
              <w:widowControl w:val="0"/>
              <w:spacing w:after="0"/>
              <w:rPr>
                <w:rFonts w:ascii="Arial" w:hAnsi="Arial" w:cs="Arial"/>
                <w:color w:val="000000" w:themeColor="text1"/>
                <w:sz w:val="18"/>
                <w:szCs w:val="18"/>
              </w:rPr>
            </w:pPr>
            <w:r>
              <w:rPr>
                <w:rFonts w:ascii="Arial" w:hAnsi="Arial"/>
                <w:color w:val="000000" w:themeColor="text1"/>
                <w:sz w:val="18"/>
                <w:szCs w:val="18"/>
              </w:rPr>
              <w:t>Berlin-Mitte</w:t>
            </w:r>
          </w:p>
        </w:tc>
        <w:tc>
          <w:tcPr>
            <w:tcW w:w="1276" w:type="dxa"/>
            <w:shd w:val="clear" w:color="auto" w:fill="D9D9D9" w:themeFill="background1" w:themeFillShade="D9"/>
            <w:vAlign w:val="center"/>
          </w:tcPr>
          <w:p w14:paraId="37869AE3" w14:textId="3794F5F3" w:rsidR="00AF41DF" w:rsidRDefault="00AF41DF" w:rsidP="00BB4C96">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559" w:type="dxa"/>
            <w:shd w:val="clear" w:color="auto" w:fill="D9D9D9" w:themeFill="background1" w:themeFillShade="D9"/>
            <w:vAlign w:val="center"/>
          </w:tcPr>
          <w:p w14:paraId="41F0C24B" w14:textId="0A103271" w:rsidR="00AF41DF" w:rsidRPr="00210B56" w:rsidRDefault="00B232E7" w:rsidP="00BB4C96">
            <w:pPr>
              <w:widowControl w:val="0"/>
              <w:spacing w:after="0"/>
              <w:rPr>
                <w:rFonts w:ascii="Arial" w:hAnsi="Arial" w:cs="Arial"/>
                <w:sz w:val="18"/>
                <w:szCs w:val="18"/>
              </w:rPr>
            </w:pPr>
            <w:r w:rsidRPr="00B232E7">
              <w:rPr>
                <w:rFonts w:ascii="Arial" w:hAnsi="Arial"/>
                <w:sz w:val="18"/>
                <w:szCs w:val="18"/>
              </w:rPr>
              <w:t>Norge</w:t>
            </w:r>
            <w:r>
              <w:rPr>
                <w:rFonts w:ascii="Arial" w:hAnsi="Arial"/>
                <w:sz w:val="18"/>
                <w:szCs w:val="18"/>
              </w:rPr>
              <w:t>s Bank Investment Management and</w:t>
            </w:r>
            <w:bookmarkStart w:id="0" w:name="_GoBack"/>
            <w:bookmarkEnd w:id="0"/>
            <w:r w:rsidRPr="00B232E7">
              <w:rPr>
                <w:rFonts w:ascii="Arial" w:hAnsi="Arial"/>
                <w:sz w:val="18"/>
                <w:szCs w:val="18"/>
              </w:rPr>
              <w:t xml:space="preserve"> Swiss Life Asset Managers</w:t>
            </w:r>
          </w:p>
        </w:tc>
        <w:tc>
          <w:tcPr>
            <w:tcW w:w="1843" w:type="dxa"/>
            <w:shd w:val="clear" w:color="auto" w:fill="D9D9D9" w:themeFill="background1" w:themeFillShade="D9"/>
            <w:vAlign w:val="center"/>
          </w:tcPr>
          <w:p w14:paraId="4C5A8A31" w14:textId="44B378B8" w:rsidR="00AF41DF" w:rsidRPr="00210B56" w:rsidRDefault="00AF41DF" w:rsidP="00BB4C96">
            <w:pPr>
              <w:widowControl w:val="0"/>
              <w:spacing w:after="0"/>
              <w:rPr>
                <w:rFonts w:ascii="Arial" w:hAnsi="Arial" w:cs="Arial"/>
                <w:color w:val="000000" w:themeColor="text1"/>
                <w:sz w:val="18"/>
                <w:szCs w:val="18"/>
              </w:rPr>
            </w:pPr>
            <w:r>
              <w:rPr>
                <w:rFonts w:ascii="Arial" w:hAnsi="Arial"/>
                <w:color w:val="000000" w:themeColor="text1"/>
                <w:sz w:val="18"/>
                <w:szCs w:val="18"/>
              </w:rPr>
              <w:t>Gädeke &amp; Sons</w:t>
            </w:r>
          </w:p>
        </w:tc>
        <w:tc>
          <w:tcPr>
            <w:tcW w:w="1134" w:type="dxa"/>
            <w:shd w:val="clear" w:color="auto" w:fill="D9D9D9" w:themeFill="background1" w:themeFillShade="D9"/>
            <w:vAlign w:val="center"/>
          </w:tcPr>
          <w:p w14:paraId="48745690" w14:textId="0F9C62A5" w:rsidR="00AF41DF" w:rsidRDefault="00AF41DF" w:rsidP="00BB4C96">
            <w:pPr>
              <w:widowControl w:val="0"/>
              <w:spacing w:after="0"/>
              <w:jc w:val="right"/>
              <w:rPr>
                <w:rFonts w:ascii="Arial" w:hAnsi="Arial" w:cs="Arial"/>
                <w:color w:val="000000" w:themeColor="text1"/>
                <w:sz w:val="18"/>
                <w:szCs w:val="18"/>
              </w:rPr>
            </w:pPr>
            <w:r>
              <w:rPr>
                <w:rFonts w:ascii="Arial" w:hAnsi="Arial"/>
                <w:color w:val="000000" w:themeColor="text1"/>
                <w:sz w:val="18"/>
                <w:szCs w:val="18"/>
              </w:rPr>
              <w:t>457</w:t>
            </w:r>
          </w:p>
        </w:tc>
      </w:tr>
      <w:tr w:rsidR="00A74C65" w:rsidRPr="00F2414C" w14:paraId="19FC96DC" w14:textId="77777777" w:rsidTr="00E40EB7">
        <w:trPr>
          <w:trHeight w:val="567"/>
        </w:trPr>
        <w:tc>
          <w:tcPr>
            <w:tcW w:w="2405" w:type="dxa"/>
            <w:shd w:val="clear" w:color="auto" w:fill="D9D9D9" w:themeFill="background1" w:themeFillShade="D9"/>
            <w:vAlign w:val="center"/>
          </w:tcPr>
          <w:p w14:paraId="4E015A8A" w14:textId="7E5CC5FA" w:rsidR="00A74C65" w:rsidRDefault="00A74C65" w:rsidP="00BB4C96">
            <w:pPr>
              <w:widowControl w:val="0"/>
              <w:spacing w:after="0"/>
              <w:rPr>
                <w:rFonts w:ascii="Arial" w:hAnsi="Arial" w:cs="Arial"/>
                <w:color w:val="000000" w:themeColor="text1"/>
                <w:sz w:val="18"/>
                <w:szCs w:val="18"/>
              </w:rPr>
            </w:pPr>
            <w:r>
              <w:rPr>
                <w:rFonts w:ascii="Arial" w:hAnsi="Arial"/>
                <w:color w:val="000000" w:themeColor="text1"/>
                <w:sz w:val="18"/>
                <w:szCs w:val="18"/>
              </w:rPr>
              <w:t>“QH Core”, Heidestrasse 5 and “QH Spring”, Heidestrasse 6</w:t>
            </w:r>
          </w:p>
        </w:tc>
        <w:tc>
          <w:tcPr>
            <w:tcW w:w="1559" w:type="dxa"/>
            <w:shd w:val="clear" w:color="auto" w:fill="D9D9D9" w:themeFill="background1" w:themeFillShade="D9"/>
            <w:vAlign w:val="center"/>
          </w:tcPr>
          <w:p w14:paraId="24FB35B4" w14:textId="59E1772C" w:rsidR="00A74C65" w:rsidRDefault="00A74C65" w:rsidP="00BB4C96">
            <w:pPr>
              <w:widowControl w:val="0"/>
              <w:spacing w:after="0"/>
              <w:rPr>
                <w:rFonts w:ascii="Arial" w:hAnsi="Arial" w:cs="Arial"/>
                <w:color w:val="000000" w:themeColor="text1"/>
                <w:sz w:val="18"/>
                <w:szCs w:val="18"/>
              </w:rPr>
            </w:pPr>
            <w:r>
              <w:rPr>
                <w:rFonts w:ascii="Arial" w:hAnsi="Arial"/>
                <w:color w:val="000000" w:themeColor="text1"/>
                <w:sz w:val="18"/>
                <w:szCs w:val="18"/>
              </w:rPr>
              <w:t>Hauptbahnhof / Europacity</w:t>
            </w:r>
          </w:p>
        </w:tc>
        <w:tc>
          <w:tcPr>
            <w:tcW w:w="1276" w:type="dxa"/>
            <w:shd w:val="clear" w:color="auto" w:fill="D9D9D9" w:themeFill="background1" w:themeFillShade="D9"/>
            <w:vAlign w:val="center"/>
          </w:tcPr>
          <w:p w14:paraId="5447FE80" w14:textId="324F0C58" w:rsidR="00A74C65" w:rsidRDefault="00A74C65" w:rsidP="00BB4C96">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559" w:type="dxa"/>
            <w:shd w:val="clear" w:color="auto" w:fill="D9D9D9" w:themeFill="background1" w:themeFillShade="D9"/>
            <w:vAlign w:val="center"/>
          </w:tcPr>
          <w:p w14:paraId="68FB529C" w14:textId="06BD0310" w:rsidR="00A74C65" w:rsidRPr="00210B56" w:rsidRDefault="00A74C65" w:rsidP="00BB4C96">
            <w:pPr>
              <w:widowControl w:val="0"/>
              <w:spacing w:after="0"/>
              <w:rPr>
                <w:rFonts w:ascii="Arial" w:hAnsi="Arial" w:cs="Arial"/>
                <w:sz w:val="18"/>
                <w:szCs w:val="18"/>
              </w:rPr>
            </w:pPr>
            <w:r>
              <w:rPr>
                <w:rFonts w:ascii="Arial" w:hAnsi="Arial"/>
                <w:sz w:val="18"/>
                <w:szCs w:val="18"/>
              </w:rPr>
              <w:t>Vivion</w:t>
            </w:r>
          </w:p>
        </w:tc>
        <w:tc>
          <w:tcPr>
            <w:tcW w:w="1843" w:type="dxa"/>
            <w:shd w:val="clear" w:color="auto" w:fill="D9D9D9" w:themeFill="background1" w:themeFillShade="D9"/>
            <w:vAlign w:val="center"/>
          </w:tcPr>
          <w:p w14:paraId="0C9D09E9" w14:textId="3F08804B" w:rsidR="00A74C65" w:rsidRPr="00210B56" w:rsidRDefault="00A74C65" w:rsidP="00BB4C96">
            <w:pPr>
              <w:widowControl w:val="0"/>
              <w:spacing w:after="0"/>
              <w:rPr>
                <w:rFonts w:ascii="Arial" w:hAnsi="Arial" w:cs="Arial"/>
                <w:color w:val="000000" w:themeColor="text1"/>
                <w:sz w:val="18"/>
                <w:szCs w:val="18"/>
              </w:rPr>
            </w:pPr>
            <w:r>
              <w:rPr>
                <w:rFonts w:ascii="Arial" w:hAnsi="Arial"/>
                <w:color w:val="000000" w:themeColor="text1"/>
                <w:sz w:val="18"/>
                <w:szCs w:val="18"/>
              </w:rPr>
              <w:t>Aggregate Holdings</w:t>
            </w:r>
          </w:p>
        </w:tc>
        <w:tc>
          <w:tcPr>
            <w:tcW w:w="1134" w:type="dxa"/>
            <w:shd w:val="clear" w:color="auto" w:fill="D9D9D9" w:themeFill="background1" w:themeFillShade="D9"/>
            <w:vAlign w:val="center"/>
          </w:tcPr>
          <w:p w14:paraId="7F91DDF2" w14:textId="0585AC35" w:rsidR="00A74C65" w:rsidRDefault="00694C32" w:rsidP="00BB4C96">
            <w:pPr>
              <w:widowControl w:val="0"/>
              <w:spacing w:after="0"/>
              <w:jc w:val="right"/>
              <w:rPr>
                <w:rFonts w:ascii="Arial" w:hAnsi="Arial" w:cs="Arial"/>
                <w:color w:val="000000" w:themeColor="text1"/>
                <w:sz w:val="18"/>
                <w:szCs w:val="18"/>
              </w:rPr>
            </w:pPr>
            <w:r>
              <w:rPr>
                <w:rFonts w:ascii="Arial" w:hAnsi="Arial"/>
                <w:color w:val="000000" w:themeColor="text1"/>
                <w:sz w:val="18"/>
                <w:szCs w:val="18"/>
              </w:rPr>
              <w:t>456</w:t>
            </w:r>
          </w:p>
        </w:tc>
      </w:tr>
      <w:tr w:rsidR="00A74C65" w:rsidRPr="00F2414C" w14:paraId="17DE9172" w14:textId="77777777" w:rsidTr="00E40EB7">
        <w:trPr>
          <w:trHeight w:val="567"/>
        </w:trPr>
        <w:tc>
          <w:tcPr>
            <w:tcW w:w="2405" w:type="dxa"/>
            <w:shd w:val="clear" w:color="auto" w:fill="auto"/>
            <w:vAlign w:val="center"/>
          </w:tcPr>
          <w:p w14:paraId="7EA24246" w14:textId="3EA346D5" w:rsidR="00A74C65" w:rsidRDefault="00A74C65" w:rsidP="00A74C65">
            <w:pPr>
              <w:widowControl w:val="0"/>
              <w:spacing w:after="0"/>
              <w:rPr>
                <w:rFonts w:ascii="Arial" w:hAnsi="Arial" w:cs="Arial"/>
                <w:color w:val="000000" w:themeColor="text1"/>
                <w:sz w:val="18"/>
                <w:szCs w:val="18"/>
              </w:rPr>
            </w:pPr>
            <w:r>
              <w:rPr>
                <w:rFonts w:ascii="Arial" w:hAnsi="Arial"/>
                <w:color w:val="000000" w:themeColor="text1"/>
                <w:sz w:val="18"/>
                <w:szCs w:val="18"/>
              </w:rPr>
              <w:t>“Sheraton Berlin Grand Hotel”,</w:t>
            </w:r>
            <w:r>
              <w:t xml:space="preserve"> </w:t>
            </w:r>
            <w:r>
              <w:rPr>
                <w:rFonts w:ascii="Arial" w:hAnsi="Arial"/>
                <w:color w:val="000000" w:themeColor="text1"/>
                <w:sz w:val="18"/>
                <w:szCs w:val="18"/>
              </w:rPr>
              <w:t>Lützowufer 15</w:t>
            </w:r>
          </w:p>
        </w:tc>
        <w:tc>
          <w:tcPr>
            <w:tcW w:w="1559" w:type="dxa"/>
            <w:shd w:val="clear" w:color="auto" w:fill="auto"/>
            <w:vAlign w:val="center"/>
          </w:tcPr>
          <w:p w14:paraId="31D56ABF" w14:textId="18E13731" w:rsidR="00A74C65" w:rsidRDefault="00A74C65" w:rsidP="00A74C65">
            <w:pPr>
              <w:widowControl w:val="0"/>
              <w:spacing w:after="0"/>
              <w:rPr>
                <w:rFonts w:ascii="Arial" w:hAnsi="Arial" w:cs="Arial"/>
                <w:color w:val="000000" w:themeColor="text1"/>
                <w:sz w:val="18"/>
                <w:szCs w:val="18"/>
              </w:rPr>
            </w:pPr>
            <w:r>
              <w:rPr>
                <w:rFonts w:ascii="Arial" w:hAnsi="Arial"/>
                <w:color w:val="000000" w:themeColor="text1"/>
                <w:sz w:val="18"/>
                <w:szCs w:val="18"/>
              </w:rPr>
              <w:t>Kreuzberg</w:t>
            </w:r>
          </w:p>
        </w:tc>
        <w:tc>
          <w:tcPr>
            <w:tcW w:w="1276" w:type="dxa"/>
            <w:shd w:val="clear" w:color="auto" w:fill="auto"/>
            <w:vAlign w:val="center"/>
          </w:tcPr>
          <w:p w14:paraId="636CE9D7" w14:textId="130F162A" w:rsidR="00A74C65" w:rsidRDefault="00A74C65" w:rsidP="00A74C65">
            <w:pPr>
              <w:widowControl w:val="0"/>
              <w:spacing w:after="0"/>
              <w:rPr>
                <w:rFonts w:ascii="Arial" w:hAnsi="Arial" w:cs="Arial"/>
                <w:color w:val="000000" w:themeColor="text1"/>
                <w:sz w:val="18"/>
                <w:szCs w:val="18"/>
              </w:rPr>
            </w:pPr>
            <w:r>
              <w:rPr>
                <w:rFonts w:ascii="Arial" w:hAnsi="Arial"/>
                <w:color w:val="000000" w:themeColor="text1"/>
                <w:sz w:val="18"/>
                <w:szCs w:val="18"/>
              </w:rPr>
              <w:t>Hotel</w:t>
            </w:r>
          </w:p>
        </w:tc>
        <w:tc>
          <w:tcPr>
            <w:tcW w:w="1559" w:type="dxa"/>
            <w:shd w:val="clear" w:color="auto" w:fill="auto"/>
            <w:vAlign w:val="center"/>
          </w:tcPr>
          <w:p w14:paraId="6453CFBE" w14:textId="44D2080C" w:rsidR="00A74C65" w:rsidRPr="001E76C4" w:rsidRDefault="00A74C65" w:rsidP="00A74C65">
            <w:pPr>
              <w:widowControl w:val="0"/>
              <w:spacing w:after="0"/>
              <w:rPr>
                <w:rFonts w:ascii="Arial" w:hAnsi="Arial" w:cs="Arial"/>
                <w:color w:val="000000" w:themeColor="text1"/>
                <w:sz w:val="18"/>
                <w:szCs w:val="18"/>
              </w:rPr>
            </w:pPr>
            <w:r>
              <w:rPr>
                <w:rFonts w:ascii="Arial" w:hAnsi="Arial"/>
                <w:sz w:val="18"/>
                <w:szCs w:val="18"/>
              </w:rPr>
              <w:t>Deutsche Finance International (DFI)</w:t>
            </w:r>
          </w:p>
        </w:tc>
        <w:tc>
          <w:tcPr>
            <w:tcW w:w="1843" w:type="dxa"/>
            <w:shd w:val="clear" w:color="auto" w:fill="auto"/>
            <w:vAlign w:val="center"/>
          </w:tcPr>
          <w:p w14:paraId="7E55A8C7" w14:textId="488B9671" w:rsidR="00A74C65" w:rsidRDefault="00A74C65" w:rsidP="00A74C65">
            <w:pPr>
              <w:widowControl w:val="0"/>
              <w:spacing w:after="0"/>
              <w:rPr>
                <w:rFonts w:ascii="Arial" w:hAnsi="Arial" w:cs="Arial"/>
                <w:color w:val="000000" w:themeColor="text1"/>
                <w:sz w:val="18"/>
                <w:szCs w:val="18"/>
              </w:rPr>
            </w:pPr>
            <w:r>
              <w:rPr>
                <w:rFonts w:ascii="Arial" w:hAnsi="Arial"/>
                <w:color w:val="000000" w:themeColor="text1"/>
                <w:sz w:val="18"/>
                <w:szCs w:val="18"/>
              </w:rPr>
              <w:t>Archer Hotel Capital</w:t>
            </w:r>
          </w:p>
        </w:tc>
        <w:tc>
          <w:tcPr>
            <w:tcW w:w="1134" w:type="dxa"/>
            <w:shd w:val="clear" w:color="auto" w:fill="auto"/>
            <w:vAlign w:val="center"/>
          </w:tcPr>
          <w:p w14:paraId="3738C4B1" w14:textId="2E173DFA" w:rsidR="00A74C65" w:rsidRDefault="00A74C65" w:rsidP="00A74C65">
            <w:pPr>
              <w:widowControl w:val="0"/>
              <w:spacing w:after="0"/>
              <w:jc w:val="right"/>
              <w:rPr>
                <w:rFonts w:ascii="Arial" w:hAnsi="Arial" w:cs="Arial"/>
                <w:color w:val="000000" w:themeColor="text1"/>
                <w:sz w:val="18"/>
                <w:szCs w:val="18"/>
              </w:rPr>
            </w:pPr>
            <w:r>
              <w:rPr>
                <w:rFonts w:ascii="Arial" w:hAnsi="Arial"/>
                <w:color w:val="000000" w:themeColor="text1"/>
                <w:sz w:val="18"/>
                <w:szCs w:val="18"/>
              </w:rPr>
              <w:t>116</w:t>
            </w:r>
          </w:p>
        </w:tc>
      </w:tr>
      <w:tr w:rsidR="00A74C65" w:rsidRPr="00F2414C" w14:paraId="0E56877D" w14:textId="77777777" w:rsidTr="00E40EB7">
        <w:trPr>
          <w:trHeight w:val="567"/>
        </w:trPr>
        <w:tc>
          <w:tcPr>
            <w:tcW w:w="2405" w:type="dxa"/>
            <w:shd w:val="clear" w:color="auto" w:fill="auto"/>
            <w:vAlign w:val="center"/>
          </w:tcPr>
          <w:p w14:paraId="6A1F90BE" w14:textId="1C6C8EE4" w:rsidR="00A74C65" w:rsidRDefault="00A74C65" w:rsidP="00A74C65">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“Wriezener Karree”, </w:t>
            </w:r>
            <w:r>
              <w:rPr>
                <w:rFonts w:ascii="Arial" w:hAnsi="Arial"/>
                <w:color w:val="000000" w:themeColor="text1"/>
                <w:sz w:val="18"/>
                <w:szCs w:val="18"/>
              </w:rPr>
              <w:br/>
              <w:t>Wriezener Karree 15</w:t>
            </w:r>
          </w:p>
        </w:tc>
        <w:tc>
          <w:tcPr>
            <w:tcW w:w="1559" w:type="dxa"/>
            <w:shd w:val="clear" w:color="auto" w:fill="auto"/>
            <w:vAlign w:val="center"/>
          </w:tcPr>
          <w:p w14:paraId="5800A628" w14:textId="0BB27CD9" w:rsidR="00A74C65" w:rsidRDefault="00A74C65" w:rsidP="00A74C65">
            <w:pPr>
              <w:widowControl w:val="0"/>
              <w:spacing w:after="0"/>
              <w:rPr>
                <w:rFonts w:ascii="Arial" w:hAnsi="Arial" w:cs="Arial"/>
                <w:color w:val="000000" w:themeColor="text1"/>
                <w:sz w:val="18"/>
                <w:szCs w:val="18"/>
              </w:rPr>
            </w:pPr>
            <w:r>
              <w:rPr>
                <w:rFonts w:ascii="Arial" w:hAnsi="Arial"/>
                <w:color w:val="000000" w:themeColor="text1"/>
                <w:sz w:val="18"/>
                <w:szCs w:val="18"/>
              </w:rPr>
              <w:t>Friedrichshain</w:t>
            </w:r>
          </w:p>
        </w:tc>
        <w:tc>
          <w:tcPr>
            <w:tcW w:w="1276" w:type="dxa"/>
            <w:shd w:val="clear" w:color="auto" w:fill="auto"/>
            <w:vAlign w:val="center"/>
          </w:tcPr>
          <w:p w14:paraId="2BF34445" w14:textId="596C5743" w:rsidR="00A74C65" w:rsidRDefault="00A74C65" w:rsidP="00A74C65">
            <w:pPr>
              <w:widowControl w:val="0"/>
              <w:spacing w:after="0"/>
              <w:rPr>
                <w:rFonts w:ascii="Arial" w:hAnsi="Arial" w:cs="Arial"/>
                <w:color w:val="000000" w:themeColor="text1"/>
                <w:sz w:val="18"/>
                <w:szCs w:val="18"/>
              </w:rPr>
            </w:pPr>
            <w:r>
              <w:rPr>
                <w:rFonts w:ascii="Arial" w:hAnsi="Arial"/>
                <w:color w:val="000000" w:themeColor="text1"/>
                <w:sz w:val="18"/>
                <w:szCs w:val="18"/>
              </w:rPr>
              <w:t>Commercial building land</w:t>
            </w:r>
          </w:p>
        </w:tc>
        <w:tc>
          <w:tcPr>
            <w:tcW w:w="1559" w:type="dxa"/>
            <w:shd w:val="clear" w:color="auto" w:fill="auto"/>
            <w:vAlign w:val="center"/>
          </w:tcPr>
          <w:p w14:paraId="2E8EC895" w14:textId="2C5C9BA7" w:rsidR="00A74C65" w:rsidRPr="00210B56" w:rsidRDefault="00A74C65" w:rsidP="00A74C65">
            <w:pPr>
              <w:widowControl w:val="0"/>
              <w:spacing w:after="0"/>
              <w:rPr>
                <w:rFonts w:ascii="Arial" w:hAnsi="Arial" w:cs="Arial"/>
                <w:sz w:val="18"/>
                <w:szCs w:val="18"/>
              </w:rPr>
            </w:pPr>
            <w:r>
              <w:rPr>
                <w:rFonts w:ascii="Arial" w:hAnsi="Arial"/>
                <w:color w:val="000000" w:themeColor="text1"/>
                <w:sz w:val="18"/>
                <w:szCs w:val="18"/>
              </w:rPr>
              <w:t>Edge Technologies</w:t>
            </w:r>
          </w:p>
        </w:tc>
        <w:tc>
          <w:tcPr>
            <w:tcW w:w="1843" w:type="dxa"/>
            <w:shd w:val="clear" w:color="auto" w:fill="auto"/>
            <w:vAlign w:val="center"/>
          </w:tcPr>
          <w:p w14:paraId="36B1DAD7" w14:textId="07CBAA6E" w:rsidR="00A74C65" w:rsidRPr="00210B56" w:rsidRDefault="00A74C65" w:rsidP="00A74C65">
            <w:pPr>
              <w:widowControl w:val="0"/>
              <w:spacing w:after="0"/>
              <w:rPr>
                <w:rFonts w:ascii="Arial" w:hAnsi="Arial" w:cs="Arial"/>
                <w:color w:val="000000" w:themeColor="text1"/>
                <w:sz w:val="18"/>
                <w:szCs w:val="18"/>
              </w:rPr>
            </w:pPr>
            <w:r>
              <w:rPr>
                <w:rFonts w:ascii="Arial" w:hAnsi="Arial"/>
                <w:color w:val="000000" w:themeColor="text1"/>
                <w:sz w:val="18"/>
                <w:szCs w:val="18"/>
              </w:rPr>
              <w:t>Aroundtown/TLG</w:t>
            </w:r>
          </w:p>
        </w:tc>
        <w:tc>
          <w:tcPr>
            <w:tcW w:w="1134" w:type="dxa"/>
            <w:shd w:val="clear" w:color="auto" w:fill="auto"/>
            <w:vAlign w:val="center"/>
          </w:tcPr>
          <w:p w14:paraId="6025345C" w14:textId="7826A29B" w:rsidR="00A74C65" w:rsidRDefault="00A74C65" w:rsidP="00A74C65">
            <w:pPr>
              <w:widowControl w:val="0"/>
              <w:spacing w:after="0"/>
              <w:jc w:val="right"/>
              <w:rPr>
                <w:rFonts w:ascii="Arial" w:hAnsi="Arial" w:cs="Arial"/>
                <w:color w:val="000000" w:themeColor="text1"/>
                <w:sz w:val="18"/>
                <w:szCs w:val="18"/>
              </w:rPr>
            </w:pPr>
            <w:r>
              <w:rPr>
                <w:rFonts w:ascii="Arial" w:hAnsi="Arial"/>
                <w:color w:val="000000" w:themeColor="text1"/>
                <w:sz w:val="18"/>
                <w:szCs w:val="18"/>
              </w:rPr>
              <w:t>confidential</w:t>
            </w:r>
          </w:p>
        </w:tc>
      </w:tr>
    </w:tbl>
    <w:p w14:paraId="1643DBD5" w14:textId="31124693" w:rsidR="001E76C4" w:rsidRDefault="00C7341F" w:rsidP="001E76C4">
      <w:pPr>
        <w:spacing w:after="0"/>
        <w:rPr>
          <w:rFonts w:ascii="Arial" w:eastAsia="Arial" w:hAnsi="Arial" w:cs="Arial"/>
          <w:color w:val="000000" w:themeColor="text1"/>
          <w:sz w:val="20"/>
          <w:szCs w:val="20"/>
        </w:rPr>
      </w:pPr>
      <w:r>
        <w:rPr>
          <w:rFonts w:ascii="Arial" w:hAnsi="Arial"/>
          <w:sz w:val="16"/>
          <w:szCs w:val="16"/>
        </w:rPr>
        <w:t>*The purchase prices stated are based on publicly available data, where none is available an estimate is made; new transactions or those occurring in the quarter dealt with in this report are highlighted.</w:t>
      </w:r>
    </w:p>
    <w:p w14:paraId="38EB286B" w14:textId="108EF0DE" w:rsidR="00C7341F" w:rsidRDefault="00C7341F" w:rsidP="00C7341F">
      <w:pPr>
        <w:widowControl w:val="0"/>
        <w:spacing w:after="0"/>
        <w:rPr>
          <w:rFonts w:ascii="Arial" w:hAnsi="Arial" w:cs="Arial"/>
          <w:sz w:val="16"/>
          <w:szCs w:val="16"/>
        </w:rPr>
      </w:pPr>
    </w:p>
    <w:p w14:paraId="307A702E" w14:textId="77777777" w:rsidR="00C7341F" w:rsidRDefault="00C7341F" w:rsidP="0090748B">
      <w:pPr>
        <w:spacing w:after="0" w:line="360" w:lineRule="auto"/>
        <w:textAlignment w:val="baseline"/>
        <w:rPr>
          <w:rFonts w:ascii="Arial" w:eastAsia="Arial" w:hAnsi="Arial" w:cs="Arial"/>
          <w:color w:val="000000" w:themeColor="text1"/>
          <w:sz w:val="20"/>
          <w:szCs w:val="20"/>
        </w:rPr>
      </w:pPr>
    </w:p>
    <w:p w14:paraId="642E7059" w14:textId="643749C0" w:rsidR="0090748B" w:rsidRPr="000D2B4A" w:rsidRDefault="0090748B" w:rsidP="0090748B">
      <w:pPr>
        <w:spacing w:after="0" w:line="360" w:lineRule="auto"/>
        <w:textAlignment w:val="baseline"/>
        <w:rPr>
          <w:rFonts w:ascii="Arial" w:eastAsia="Arial" w:hAnsi="Arial" w:cs="Arial"/>
          <w:color w:val="000000" w:themeColor="text1"/>
          <w:sz w:val="16"/>
          <w:szCs w:val="16"/>
        </w:rPr>
      </w:pPr>
      <w:r w:rsidRPr="000D2B4A">
        <w:rPr>
          <w:rFonts w:ascii="Arial" w:hAnsi="Arial" w:cs="Arial"/>
          <w:sz w:val="16"/>
          <w:szCs w:val="16"/>
        </w:rPr>
        <w:t xml:space="preserve">The </w:t>
      </w:r>
      <w:hyperlink r:id="rId9" w:history="1">
        <w:r w:rsidR="0092694E">
          <w:rPr>
            <w:rStyle w:val="Hyperlink"/>
            <w:rFonts w:ascii="Arial" w:hAnsi="Arial" w:cs="Arial"/>
            <w:snapToGrid w:val="0"/>
            <w:sz w:val="16"/>
            <w:szCs w:val="16"/>
          </w:rPr>
          <w:t>M</w:t>
        </w:r>
        <w:r w:rsidRPr="000D2B4A">
          <w:rPr>
            <w:rStyle w:val="Hyperlink"/>
            <w:rFonts w:ascii="Arial" w:hAnsi="Arial" w:cs="Arial"/>
            <w:snapToGrid w:val="0"/>
            <w:sz w:val="16"/>
            <w:szCs w:val="16"/>
          </w:rPr>
          <w:t>arket survey property investment in Berlin 2022/Q3</w:t>
        </w:r>
      </w:hyperlink>
      <w:r w:rsidRPr="000D2B4A">
        <w:rPr>
          <w:rFonts w:ascii="Arial" w:hAnsi="Arial" w:cs="Arial"/>
          <w:color w:val="000000" w:themeColor="text1"/>
          <w:sz w:val="16"/>
          <w:szCs w:val="16"/>
        </w:rPr>
        <w:t xml:space="preserve"> will soon be available to download from our website.</w:t>
      </w:r>
    </w:p>
    <w:p w14:paraId="6498E5CA" w14:textId="77777777" w:rsidR="0090748B" w:rsidRDefault="0090748B" w:rsidP="000C770D">
      <w:pPr>
        <w:spacing w:after="0" w:line="360" w:lineRule="auto"/>
        <w:rPr>
          <w:rFonts w:ascii="Arial" w:hAnsi="Arial" w:cs="Arial"/>
          <w:sz w:val="20"/>
          <w:szCs w:val="20"/>
        </w:rPr>
      </w:pPr>
    </w:p>
    <w:p w14:paraId="32900A69" w14:textId="77777777" w:rsidR="00B466DD" w:rsidRPr="0090748B" w:rsidRDefault="00B466DD" w:rsidP="00B466DD">
      <w:pPr>
        <w:spacing w:after="0" w:line="360" w:lineRule="auto"/>
        <w:rPr>
          <w:rFonts w:ascii="Arial" w:hAnsi="Arial" w:cs="Arial"/>
          <w:b/>
          <w:sz w:val="16"/>
          <w:szCs w:val="16"/>
        </w:rPr>
      </w:pPr>
      <w:r>
        <w:rPr>
          <w:rFonts w:ascii="Arial" w:hAnsi="Arial"/>
          <w:b/>
          <w:sz w:val="16"/>
          <w:szCs w:val="16"/>
        </w:rPr>
        <w:t>About Grossmann &amp; Berger</w:t>
      </w:r>
    </w:p>
    <w:p w14:paraId="5AEC3C7A" w14:textId="11244FD5" w:rsidR="00B466DD" w:rsidRPr="00521AA1" w:rsidRDefault="00B232E7" w:rsidP="00B466DD">
      <w:pPr>
        <w:spacing w:after="0" w:line="360" w:lineRule="auto"/>
        <w:rPr>
          <w:rFonts w:ascii="Arial" w:hAnsi="Arial" w:cs="Arial"/>
          <w:vanish/>
          <w:sz w:val="16"/>
          <w:szCs w:val="16"/>
          <w:specVanish/>
        </w:rPr>
      </w:pPr>
      <w:hyperlink r:id="rId10" w:history="1">
        <w:r w:rsidR="00B466DD">
          <w:rPr>
            <w:rStyle w:val="Hyperlink"/>
            <w:rFonts w:ascii="Arial" w:hAnsi="Arial"/>
            <w:snapToGrid w:val="0"/>
            <w:sz w:val="16"/>
            <w:szCs w:val="16"/>
          </w:rPr>
          <w:t>Grossmann &amp; Berger GmbH</w:t>
        </w:r>
      </w:hyperlink>
      <w:r w:rsidR="00B466DD">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1" w:history="1">
        <w:r w:rsidR="00B466DD">
          <w:rPr>
            <w:rStyle w:val="Hyperlink"/>
            <w:rFonts w:ascii="Arial" w:hAnsi="Arial"/>
            <w:snapToGrid w:val="0"/>
            <w:sz w:val="16"/>
            <w:szCs w:val="16"/>
          </w:rPr>
          <w:t>E &amp; G Real Estate</w:t>
        </w:r>
      </w:hyperlink>
      <w:r w:rsidR="00B466DD">
        <w:rPr>
          <w:rFonts w:ascii="Arial" w:hAnsi="Arial"/>
          <w:snapToGrid w:val="0"/>
          <w:sz w:val="16"/>
          <w:szCs w:val="16"/>
        </w:rPr>
        <w:t xml:space="preserve"> and</w:t>
      </w:r>
      <w:r w:rsidR="00B466DD">
        <w:rPr>
          <w:rFonts w:ascii="Arial" w:hAnsi="Arial"/>
          <w:snapToGrid w:val="0"/>
          <w:sz w:val="16"/>
          <w:szCs w:val="16"/>
        </w:rPr>
        <w:br/>
      </w:r>
      <w:hyperlink r:id="rId12" w:history="1">
        <w:r w:rsidR="00B466DD">
          <w:rPr>
            <w:rStyle w:val="Hyperlink"/>
            <w:rFonts w:ascii="Arial" w:hAnsi="Arial"/>
            <w:snapToGrid w:val="0"/>
            <w:sz w:val="16"/>
            <w:szCs w:val="16"/>
          </w:rPr>
          <w:t>E &amp; G Private Immobilien</w:t>
        </w:r>
      </w:hyperlink>
      <w:r w:rsidR="00B466DD">
        <w:rPr>
          <w:rFonts w:ascii="Arial" w:hAnsi="Arial"/>
          <w:snapToGrid w:val="0"/>
          <w:sz w:val="16"/>
          <w:szCs w:val="16"/>
        </w:rPr>
        <w:t xml:space="preserve">, so that Grossmann &amp; Berger also operates in the two South German metropolitan areas of Stuttgart and </w:t>
      </w:r>
      <w:r w:rsidR="00B466DD">
        <w:rPr>
          <w:rFonts w:ascii="Arial" w:hAnsi="Arial"/>
          <w:snapToGrid w:val="0"/>
          <w:sz w:val="16"/>
          <w:szCs w:val="16"/>
        </w:rPr>
        <w:lastRenderedPageBreak/>
        <w:t xml:space="preserve">Munich. Drawing on their comprehensive expertise in the real estate business, some 240 employees provide the full range of relevant services. They also benefit from the company’s more than 85 years standing in the industry. </w:t>
      </w:r>
      <w:r w:rsidR="00B466DD">
        <w:rPr>
          <w:rFonts w:ascii="Arial" w:hAnsi="Arial"/>
          <w:sz w:val="16"/>
          <w:szCs w:val="16"/>
        </w:rPr>
        <w:t xml:space="preserve">Grossmann &amp; Berger belongs to the HASPA Group and is a founding member of the national commercial real estate network </w:t>
      </w:r>
      <w:hyperlink r:id="rId13" w:history="1">
        <w:r w:rsidR="00B466DD">
          <w:rPr>
            <w:rStyle w:val="Hyperlink"/>
            <w:rFonts w:ascii="Arial" w:hAnsi="Arial"/>
            <w:sz w:val="16"/>
            <w:szCs w:val="16"/>
          </w:rPr>
          <w:t>German Property Partners</w:t>
        </w:r>
      </w:hyperlink>
      <w:r w:rsidR="00B466DD">
        <w:rPr>
          <w:rFonts w:ascii="Arial" w:hAnsi="Arial"/>
          <w:sz w:val="16"/>
          <w:szCs w:val="16"/>
        </w:rPr>
        <w:t xml:space="preserve"> (GPP).</w:t>
      </w:r>
    </w:p>
    <w:p w14:paraId="33D90876" w14:textId="77777777" w:rsidR="00B466DD" w:rsidRPr="00521AA1" w:rsidRDefault="00B466DD" w:rsidP="00B466DD">
      <w:pPr>
        <w:spacing w:after="0" w:line="360" w:lineRule="auto"/>
        <w:rPr>
          <w:rFonts w:ascii="Arial" w:hAnsi="Arial" w:cs="Arial"/>
          <w:sz w:val="16"/>
          <w:szCs w:val="16"/>
        </w:rPr>
      </w:pPr>
    </w:p>
    <w:p w14:paraId="28265F2D" w14:textId="77777777" w:rsidR="00B466DD" w:rsidRDefault="00B466DD" w:rsidP="00B466DD">
      <w:pPr>
        <w:spacing w:after="0" w:line="360" w:lineRule="auto"/>
        <w:rPr>
          <w:rFonts w:ascii="Arial" w:hAnsi="Arial" w:cs="Arial"/>
          <w:sz w:val="16"/>
          <w:szCs w:val="16"/>
        </w:rPr>
      </w:pPr>
    </w:p>
    <w:p w14:paraId="631DFFB0" w14:textId="55AFFFAE" w:rsidR="00B466DD" w:rsidRDefault="00B466DD" w:rsidP="00B466DD">
      <w:pPr>
        <w:spacing w:after="0" w:line="360" w:lineRule="auto"/>
        <w:rPr>
          <w:rStyle w:val="Fett"/>
          <w:rFonts w:ascii="Arial" w:hAnsi="Arial" w:cs="Arial"/>
          <w:b w:val="0"/>
          <w:color w:val="000000" w:themeColor="text1"/>
          <w:sz w:val="20"/>
          <w:szCs w:val="20"/>
        </w:rPr>
      </w:pPr>
      <w:r>
        <w:rPr>
          <w:rFonts w:ascii="Arial" w:hAnsi="Arial"/>
          <w:sz w:val="16"/>
          <w:szCs w:val="16"/>
        </w:rPr>
        <w:t>Please consult our website for Grossmann &amp; Berger’s</w:t>
      </w:r>
      <w:r w:rsidR="000D2B4A">
        <w:rPr>
          <w:rFonts w:ascii="Arial" w:hAnsi="Arial"/>
          <w:sz w:val="16"/>
          <w:szCs w:val="16"/>
        </w:rPr>
        <w:t xml:space="preserve"> </w:t>
      </w:r>
      <w:hyperlink r:id="rId14" w:history="1">
        <w:r>
          <w:rPr>
            <w:rStyle w:val="Hyperlink"/>
            <w:rFonts w:ascii="Arial" w:hAnsi="Arial"/>
            <w:sz w:val="16"/>
            <w:szCs w:val="16"/>
          </w:rPr>
          <w:t>data privacy policy</w:t>
        </w:r>
      </w:hyperlink>
      <w:r w:rsidR="000D2B4A">
        <w:rPr>
          <w:rFonts w:ascii="Arial" w:hAnsi="Arial"/>
          <w:sz w:val="16"/>
          <w:szCs w:val="16"/>
        </w:rPr>
        <w:t>.</w:t>
      </w:r>
      <w:r>
        <w:rPr>
          <w:rFonts w:ascii="Arial" w:hAnsi="Arial"/>
          <w:sz w:val="16"/>
          <w:szCs w:val="16"/>
        </w:rPr>
        <w:t xml:space="preserve"> Here you will also be able to access our </w:t>
      </w:r>
      <w:hyperlink r:id="rId15" w:history="1">
        <w:r>
          <w:rPr>
            <w:rStyle w:val="Hyperlink"/>
            <w:rFonts w:ascii="Arial" w:hAnsi="Arial"/>
            <w:sz w:val="16"/>
            <w:szCs w:val="16"/>
          </w:rPr>
          <w:t>press kit</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"Abmeldung aus Presseverteiler” / “Unsubscribe from press mailing list”.</w:t>
      </w:r>
    </w:p>
    <w:p w14:paraId="4CECEBB6" w14:textId="7E7D937C" w:rsidR="00503D8C" w:rsidRPr="00712CE1" w:rsidRDefault="00503D8C" w:rsidP="00B747F3">
      <w:pPr>
        <w:spacing w:after="0" w:line="360" w:lineRule="auto"/>
        <w:rPr>
          <w:rFonts w:ascii="Arial" w:hAnsi="Arial" w:cs="Arial"/>
          <w:sz w:val="16"/>
          <w:szCs w:val="16"/>
        </w:rPr>
      </w:pPr>
    </w:p>
    <w:sectPr w:rsidR="00503D8C" w:rsidRPr="00712CE1"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391B" w16cex:dateUtc="2022-03-31T12:28:00Z"/>
  <w16cex:commentExtensible w16cex:durableId="25F0394C" w16cex:dateUtc="2022-03-31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77545" w16cid:durableId="25F0391B"/>
  <w16cid:commentId w16cid:paraId="4A657374" w16cid:durableId="25F039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DC969" w14:textId="77777777" w:rsidR="00591127" w:rsidRDefault="00591127">
      <w:r>
        <w:separator/>
      </w:r>
    </w:p>
  </w:endnote>
  <w:endnote w:type="continuationSeparator" w:id="0">
    <w:p w14:paraId="16793785" w14:textId="77777777" w:rsidR="00591127" w:rsidRDefault="0059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0022" w14:textId="3E650D65"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0D2B4A">
      <w:rPr>
        <w:rFonts w:ascii="Arial" w:hAnsi="Arial"/>
        <w:b/>
        <w:bCs/>
        <w:color w:val="918F90"/>
        <w:sz w:val="18"/>
        <w:szCs w:val="18"/>
        <w:lang w:val="de-DE"/>
      </w:rPr>
      <w:t xml:space="preserve">Grossmann &amp; Berger GmbH </w:t>
    </w:r>
    <w:r w:rsidRPr="000D2B4A">
      <w:rPr>
        <w:rFonts w:ascii="Arial" w:hAnsi="Arial"/>
        <w:color w:val="918F90"/>
        <w:sz w:val="18"/>
        <w:szCs w:val="18"/>
        <w:lang w:val="de-DE"/>
      </w:rPr>
      <w:t xml:space="preserve">| Bleichenbrücke 9 | 20354 Hamburg | Tel. </w:t>
    </w:r>
    <w:r>
      <w:rPr>
        <w:rFonts w:ascii="Arial" w:hAnsi="Arial"/>
        <w:color w:val="918F90"/>
        <w:sz w:val="18"/>
        <w:szCs w:val="18"/>
      </w:rPr>
      <w:t>+49 (0)40 / 350 80 2-0 | www.grossmann-berger.de</w:t>
    </w:r>
  </w:p>
  <w:p w14:paraId="5E0EDDBC" w14:textId="40869515"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B232E7">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B232E7">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CEE9" w14:textId="77777777" w:rsidR="008C608D" w:rsidRDefault="008C608D">
    <w:pPr>
      <w:pStyle w:val="Fuzeile"/>
    </w:pPr>
    <w:r>
      <w:rPr>
        <w:noProof/>
        <w:lang w:val="de-DE" w:eastAsia="de-DE"/>
      </w:rPr>
      <w:drawing>
        <wp:anchor distT="0" distB="0" distL="0" distR="0" simplePos="0" relativeHeight="251659264" behindDoc="0" locked="0" layoutInCell="0" allowOverlap="1" wp14:anchorId="648292C5" wp14:editId="00457459">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19005" w14:textId="77777777" w:rsidR="00591127" w:rsidRDefault="00591127">
      <w:r>
        <w:separator/>
      </w:r>
    </w:p>
  </w:footnote>
  <w:footnote w:type="continuationSeparator" w:id="0">
    <w:p w14:paraId="3DADF9B0" w14:textId="77777777" w:rsidR="00591127" w:rsidRDefault="0059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0661"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58C25E6F" wp14:editId="42127F1E">
              <wp:simplePos x="0" y="0"/>
              <wp:positionH relativeFrom="column">
                <wp:posOffset>-81916</wp:posOffset>
              </wp:positionH>
              <wp:positionV relativeFrom="paragraph">
                <wp:posOffset>20955</wp:posOffset>
              </wp:positionV>
              <wp:extent cx="5019675"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38D3993" w14:textId="4A00A49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25E6F" id="_x0000_t202" coordsize="21600,21600" o:spt="202" path="m,l,21600r21600,l21600,xe">
              <v:stroke joinstyle="miter"/>
              <v:path gradientshapeok="t" o:connecttype="rect"/>
            </v:shapetype>
            <v:shape id="Textfeld 2" o:spid="_x0000_s1026" type="#_x0000_t202" style="position:absolute;left:0;text-align:left;margin-left:-6.45pt;margin-top:1.65pt;width:39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" filled="f" stroked="f">
              <v:textbox style="mso-fit-shape-to-text:t">
                <w:txbxContent>
                  <w:p w14:paraId="038D3993" w14:textId="4A00A49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v:textbox>
            </v:shape>
          </w:pict>
        </mc:Fallback>
      </mc:AlternateContent>
    </w:r>
    <w:r>
      <w:rPr>
        <w:rFonts w:ascii="Arial" w:hAnsi="Arial"/>
        <w:color w:val="918F90"/>
        <w:sz w:val="28"/>
        <w:szCs w:val="28"/>
      </w:rPr>
      <w:t>Press release</w:t>
    </w:r>
  </w:p>
  <w:p w14:paraId="4672834A"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F632"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26FF3942" wp14:editId="1F9AD08A">
              <wp:simplePos x="0" y="0"/>
              <wp:positionH relativeFrom="column">
                <wp:posOffset>-78646</wp:posOffset>
              </wp:positionH>
              <wp:positionV relativeFrom="paragraph">
                <wp:posOffset>22092</wp:posOffset>
              </wp:positionV>
              <wp:extent cx="494731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313" cy="1403985"/>
                      </a:xfrm>
                      <a:prstGeom prst="rect">
                        <a:avLst/>
                      </a:prstGeom>
                      <a:noFill/>
                      <a:ln w="9525">
                        <a:noFill/>
                        <a:miter lim="800000"/>
                        <a:headEnd/>
                        <a:tailEnd/>
                      </a:ln>
                    </wps:spPr>
                    <wps:txbx>
                      <w:txbxContent>
                        <w:p w14:paraId="341F569C" w14:textId="4B7A5418"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F3942" id="_x0000_t202" coordsize="21600,21600" o:spt="202" path="m,l,21600r21600,l21600,xe">
              <v:stroke joinstyle="miter"/>
              <v:path gradientshapeok="t" o:connecttype="rect"/>
            </v:shapetype>
            <v:shape id="_x0000_s1027" type="#_x0000_t202" style="position:absolute;left:0;text-align:left;margin-left:-6.2pt;margin-top:1.75pt;width:389.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" filled="f" stroked="f">
              <v:textbox style="mso-fit-shape-to-text:t">
                <w:txbxContent>
                  <w:p w14:paraId="341F569C" w14:textId="4B7A5418"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v:textbox>
            </v:shape>
          </w:pict>
        </mc:Fallback>
      </mc:AlternateContent>
    </w:r>
    <w:r>
      <w:rPr>
        <w:rFonts w:ascii="Arial" w:hAnsi="Arial"/>
        <w:color w:val="918F90"/>
        <w:sz w:val="28"/>
        <w:szCs w:val="28"/>
      </w:rPr>
      <w:t>Press release</w:t>
    </w:r>
  </w:p>
  <w:p w14:paraId="3FAFB734"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B0C52"/>
    <w:multiLevelType w:val="hybridMultilevel"/>
    <w:tmpl w:val="1CE49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065F13"/>
    <w:multiLevelType w:val="hybridMultilevel"/>
    <w:tmpl w:val="4D16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EC7B8E"/>
    <w:multiLevelType w:val="hybridMultilevel"/>
    <w:tmpl w:val="970AC426"/>
    <w:lvl w:ilvl="0" w:tplc="C4768AF6">
      <w:start w:val="6"/>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1C6700"/>
    <w:multiLevelType w:val="hybridMultilevel"/>
    <w:tmpl w:val="415E020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8F830F8"/>
    <w:multiLevelType w:val="hybridMultilevel"/>
    <w:tmpl w:val="CE54F1DE"/>
    <w:lvl w:ilvl="0" w:tplc="41F6EF16">
      <w:start w:val="2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8"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9"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021576"/>
    <w:multiLevelType w:val="hybridMultilevel"/>
    <w:tmpl w:val="3378CEC8"/>
    <w:lvl w:ilvl="0" w:tplc="5D5025CA">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20"/>
  </w:num>
  <w:num w:numId="14">
    <w:abstractNumId w:val="18"/>
  </w:num>
  <w:num w:numId="15">
    <w:abstractNumId w:val="19"/>
  </w:num>
  <w:num w:numId="16">
    <w:abstractNumId w:val="12"/>
  </w:num>
  <w:num w:numId="17">
    <w:abstractNumId w:val="16"/>
  </w:num>
  <w:num w:numId="18">
    <w:abstractNumId w:val="13"/>
  </w:num>
  <w:num w:numId="19">
    <w:abstractNumId w:val="21"/>
  </w:num>
  <w:num w:numId="20">
    <w:abstractNumId w:val="15"/>
  </w:num>
  <w:num w:numId="21">
    <w:abstractNumId w:val="14"/>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598D"/>
    <w:rsid w:val="000159FE"/>
    <w:rsid w:val="000202AA"/>
    <w:rsid w:val="00022F16"/>
    <w:rsid w:val="00023D78"/>
    <w:rsid w:val="00030053"/>
    <w:rsid w:val="0003075C"/>
    <w:rsid w:val="000401E7"/>
    <w:rsid w:val="00050080"/>
    <w:rsid w:val="00054DC9"/>
    <w:rsid w:val="00060743"/>
    <w:rsid w:val="00066796"/>
    <w:rsid w:val="000766D7"/>
    <w:rsid w:val="000B3315"/>
    <w:rsid w:val="000B579C"/>
    <w:rsid w:val="000C770D"/>
    <w:rsid w:val="000D2B4A"/>
    <w:rsid w:val="000D3CAE"/>
    <w:rsid w:val="000D774D"/>
    <w:rsid w:val="000E03F3"/>
    <w:rsid w:val="000E120E"/>
    <w:rsid w:val="000F1B26"/>
    <w:rsid w:val="001029C4"/>
    <w:rsid w:val="00106F37"/>
    <w:rsid w:val="0011486D"/>
    <w:rsid w:val="00121E33"/>
    <w:rsid w:val="0012484F"/>
    <w:rsid w:val="00126550"/>
    <w:rsid w:val="001324D6"/>
    <w:rsid w:val="00135BD2"/>
    <w:rsid w:val="00142A67"/>
    <w:rsid w:val="00154825"/>
    <w:rsid w:val="00155DAF"/>
    <w:rsid w:val="0016391F"/>
    <w:rsid w:val="0017516B"/>
    <w:rsid w:val="00176F1D"/>
    <w:rsid w:val="00190298"/>
    <w:rsid w:val="001922E2"/>
    <w:rsid w:val="00192A39"/>
    <w:rsid w:val="001A2ABE"/>
    <w:rsid w:val="001A360C"/>
    <w:rsid w:val="001A5E9E"/>
    <w:rsid w:val="001B3575"/>
    <w:rsid w:val="001C0EEE"/>
    <w:rsid w:val="001D0D74"/>
    <w:rsid w:val="001D14DA"/>
    <w:rsid w:val="001E6995"/>
    <w:rsid w:val="001E76C4"/>
    <w:rsid w:val="001F1513"/>
    <w:rsid w:val="001F6BCE"/>
    <w:rsid w:val="00202AE4"/>
    <w:rsid w:val="00205769"/>
    <w:rsid w:val="00206F94"/>
    <w:rsid w:val="00210B56"/>
    <w:rsid w:val="00212FEC"/>
    <w:rsid w:val="002131BB"/>
    <w:rsid w:val="0022086D"/>
    <w:rsid w:val="002220CB"/>
    <w:rsid w:val="00225F74"/>
    <w:rsid w:val="00227E31"/>
    <w:rsid w:val="00230F81"/>
    <w:rsid w:val="002538F8"/>
    <w:rsid w:val="00254C6F"/>
    <w:rsid w:val="00267947"/>
    <w:rsid w:val="00267E4A"/>
    <w:rsid w:val="0027266B"/>
    <w:rsid w:val="00281E80"/>
    <w:rsid w:val="002834B0"/>
    <w:rsid w:val="00283671"/>
    <w:rsid w:val="00284E27"/>
    <w:rsid w:val="0028566C"/>
    <w:rsid w:val="0028597F"/>
    <w:rsid w:val="0029474A"/>
    <w:rsid w:val="002A028B"/>
    <w:rsid w:val="002A1973"/>
    <w:rsid w:val="002A7665"/>
    <w:rsid w:val="002B0935"/>
    <w:rsid w:val="002B16FA"/>
    <w:rsid w:val="002B1F33"/>
    <w:rsid w:val="002C2392"/>
    <w:rsid w:val="002C31E8"/>
    <w:rsid w:val="002C3E12"/>
    <w:rsid w:val="002D1C5C"/>
    <w:rsid w:val="002D1E20"/>
    <w:rsid w:val="002D6EF1"/>
    <w:rsid w:val="002E24A0"/>
    <w:rsid w:val="002E6860"/>
    <w:rsid w:val="002F0411"/>
    <w:rsid w:val="00304104"/>
    <w:rsid w:val="00325E2A"/>
    <w:rsid w:val="0034786C"/>
    <w:rsid w:val="003517C9"/>
    <w:rsid w:val="0035214D"/>
    <w:rsid w:val="0035325B"/>
    <w:rsid w:val="003559FF"/>
    <w:rsid w:val="003577ED"/>
    <w:rsid w:val="00370000"/>
    <w:rsid w:val="00373507"/>
    <w:rsid w:val="00376D12"/>
    <w:rsid w:val="0038230E"/>
    <w:rsid w:val="00382529"/>
    <w:rsid w:val="00384022"/>
    <w:rsid w:val="0039183F"/>
    <w:rsid w:val="003A3481"/>
    <w:rsid w:val="003A75E8"/>
    <w:rsid w:val="003B42CD"/>
    <w:rsid w:val="003B4CCF"/>
    <w:rsid w:val="003C2366"/>
    <w:rsid w:val="003C6AB4"/>
    <w:rsid w:val="003D52A0"/>
    <w:rsid w:val="003D69DE"/>
    <w:rsid w:val="003E099F"/>
    <w:rsid w:val="003F1645"/>
    <w:rsid w:val="003F4284"/>
    <w:rsid w:val="003F4FE3"/>
    <w:rsid w:val="0040086D"/>
    <w:rsid w:val="004017D8"/>
    <w:rsid w:val="00406121"/>
    <w:rsid w:val="00411E03"/>
    <w:rsid w:val="004123B1"/>
    <w:rsid w:val="004303A1"/>
    <w:rsid w:val="004351E4"/>
    <w:rsid w:val="0043721F"/>
    <w:rsid w:val="00440DC9"/>
    <w:rsid w:val="0044622D"/>
    <w:rsid w:val="004506D2"/>
    <w:rsid w:val="00456F40"/>
    <w:rsid w:val="004609BD"/>
    <w:rsid w:val="004661EE"/>
    <w:rsid w:val="00466741"/>
    <w:rsid w:val="0047591A"/>
    <w:rsid w:val="004818C4"/>
    <w:rsid w:val="004839BD"/>
    <w:rsid w:val="00491E10"/>
    <w:rsid w:val="004A2BEA"/>
    <w:rsid w:val="004A3C64"/>
    <w:rsid w:val="004A5AEA"/>
    <w:rsid w:val="004B09DE"/>
    <w:rsid w:val="004B1B8E"/>
    <w:rsid w:val="004B2FDA"/>
    <w:rsid w:val="004B480A"/>
    <w:rsid w:val="004C1FA6"/>
    <w:rsid w:val="004E339B"/>
    <w:rsid w:val="004E4562"/>
    <w:rsid w:val="004F077F"/>
    <w:rsid w:val="004F139A"/>
    <w:rsid w:val="00501E7D"/>
    <w:rsid w:val="005023DD"/>
    <w:rsid w:val="00503D8C"/>
    <w:rsid w:val="00512345"/>
    <w:rsid w:val="005223FE"/>
    <w:rsid w:val="00522B84"/>
    <w:rsid w:val="00531A7F"/>
    <w:rsid w:val="005428C5"/>
    <w:rsid w:val="00543C55"/>
    <w:rsid w:val="00546707"/>
    <w:rsid w:val="005554C7"/>
    <w:rsid w:val="00565657"/>
    <w:rsid w:val="00582B99"/>
    <w:rsid w:val="00586DAE"/>
    <w:rsid w:val="00590903"/>
    <w:rsid w:val="00591127"/>
    <w:rsid w:val="00593B27"/>
    <w:rsid w:val="005A0778"/>
    <w:rsid w:val="005B0FC9"/>
    <w:rsid w:val="005B66D3"/>
    <w:rsid w:val="005C4556"/>
    <w:rsid w:val="005C5302"/>
    <w:rsid w:val="005E35CD"/>
    <w:rsid w:val="005E362E"/>
    <w:rsid w:val="005E4B48"/>
    <w:rsid w:val="005F6E2B"/>
    <w:rsid w:val="00602EF0"/>
    <w:rsid w:val="0061109D"/>
    <w:rsid w:val="00612AA0"/>
    <w:rsid w:val="006138CB"/>
    <w:rsid w:val="006224C4"/>
    <w:rsid w:val="006225EA"/>
    <w:rsid w:val="006261DF"/>
    <w:rsid w:val="006263BD"/>
    <w:rsid w:val="00633B9C"/>
    <w:rsid w:val="00642074"/>
    <w:rsid w:val="00643A54"/>
    <w:rsid w:val="0065677B"/>
    <w:rsid w:val="00656B29"/>
    <w:rsid w:val="00665A14"/>
    <w:rsid w:val="00687D00"/>
    <w:rsid w:val="00694C32"/>
    <w:rsid w:val="00695E58"/>
    <w:rsid w:val="006A1329"/>
    <w:rsid w:val="006A66F9"/>
    <w:rsid w:val="006D7DC5"/>
    <w:rsid w:val="006E4CF0"/>
    <w:rsid w:val="006E5F6E"/>
    <w:rsid w:val="00710607"/>
    <w:rsid w:val="00712CE1"/>
    <w:rsid w:val="00720DFF"/>
    <w:rsid w:val="007218C0"/>
    <w:rsid w:val="00724F8C"/>
    <w:rsid w:val="00727E22"/>
    <w:rsid w:val="00762CC5"/>
    <w:rsid w:val="0076540A"/>
    <w:rsid w:val="00776CA6"/>
    <w:rsid w:val="00781CBD"/>
    <w:rsid w:val="00783517"/>
    <w:rsid w:val="007906B4"/>
    <w:rsid w:val="007A4FCB"/>
    <w:rsid w:val="007A7F58"/>
    <w:rsid w:val="007B78A8"/>
    <w:rsid w:val="007C013D"/>
    <w:rsid w:val="007C5658"/>
    <w:rsid w:val="007E4885"/>
    <w:rsid w:val="007E759D"/>
    <w:rsid w:val="007F49FD"/>
    <w:rsid w:val="00812471"/>
    <w:rsid w:val="008143C6"/>
    <w:rsid w:val="008238F0"/>
    <w:rsid w:val="008261A5"/>
    <w:rsid w:val="008314AD"/>
    <w:rsid w:val="0083382E"/>
    <w:rsid w:val="00855325"/>
    <w:rsid w:val="00862E34"/>
    <w:rsid w:val="00865915"/>
    <w:rsid w:val="00865D20"/>
    <w:rsid w:val="00871832"/>
    <w:rsid w:val="00886CCE"/>
    <w:rsid w:val="00896B33"/>
    <w:rsid w:val="008A62FB"/>
    <w:rsid w:val="008A77B7"/>
    <w:rsid w:val="008B0F67"/>
    <w:rsid w:val="008B5E36"/>
    <w:rsid w:val="008C608D"/>
    <w:rsid w:val="008D0A26"/>
    <w:rsid w:val="008E461D"/>
    <w:rsid w:val="008F02E9"/>
    <w:rsid w:val="008F08E5"/>
    <w:rsid w:val="008F0C4C"/>
    <w:rsid w:val="008F0EA4"/>
    <w:rsid w:val="008F5213"/>
    <w:rsid w:val="009066C5"/>
    <w:rsid w:val="0090748B"/>
    <w:rsid w:val="00920C9C"/>
    <w:rsid w:val="00922754"/>
    <w:rsid w:val="00925781"/>
    <w:rsid w:val="00925804"/>
    <w:rsid w:val="009258D0"/>
    <w:rsid w:val="0092694E"/>
    <w:rsid w:val="00935AB3"/>
    <w:rsid w:val="00946BF0"/>
    <w:rsid w:val="009734CE"/>
    <w:rsid w:val="00977A88"/>
    <w:rsid w:val="00980EDB"/>
    <w:rsid w:val="009864F4"/>
    <w:rsid w:val="0099478D"/>
    <w:rsid w:val="00996E1A"/>
    <w:rsid w:val="009A0FA2"/>
    <w:rsid w:val="009A4414"/>
    <w:rsid w:val="009D24DA"/>
    <w:rsid w:val="009D5738"/>
    <w:rsid w:val="009D5D75"/>
    <w:rsid w:val="009F1ABD"/>
    <w:rsid w:val="009F32A2"/>
    <w:rsid w:val="009F54CE"/>
    <w:rsid w:val="00A00F36"/>
    <w:rsid w:val="00A06264"/>
    <w:rsid w:val="00A070B6"/>
    <w:rsid w:val="00A1639A"/>
    <w:rsid w:val="00A202C5"/>
    <w:rsid w:val="00A215C9"/>
    <w:rsid w:val="00A25A45"/>
    <w:rsid w:val="00A3218E"/>
    <w:rsid w:val="00A32BC5"/>
    <w:rsid w:val="00A4056C"/>
    <w:rsid w:val="00A5364B"/>
    <w:rsid w:val="00A546DC"/>
    <w:rsid w:val="00A549D4"/>
    <w:rsid w:val="00A615E0"/>
    <w:rsid w:val="00A65E2B"/>
    <w:rsid w:val="00A74AA0"/>
    <w:rsid w:val="00A74C65"/>
    <w:rsid w:val="00A7546D"/>
    <w:rsid w:val="00A77100"/>
    <w:rsid w:val="00A83D73"/>
    <w:rsid w:val="00A97481"/>
    <w:rsid w:val="00AA42EB"/>
    <w:rsid w:val="00AA4D97"/>
    <w:rsid w:val="00AC2FA7"/>
    <w:rsid w:val="00AD17B7"/>
    <w:rsid w:val="00AE6AED"/>
    <w:rsid w:val="00AF1DF7"/>
    <w:rsid w:val="00AF41DF"/>
    <w:rsid w:val="00AF7365"/>
    <w:rsid w:val="00AF7477"/>
    <w:rsid w:val="00B04DDD"/>
    <w:rsid w:val="00B077D5"/>
    <w:rsid w:val="00B11C7C"/>
    <w:rsid w:val="00B158A2"/>
    <w:rsid w:val="00B200E4"/>
    <w:rsid w:val="00B232E7"/>
    <w:rsid w:val="00B27A3F"/>
    <w:rsid w:val="00B356BB"/>
    <w:rsid w:val="00B35B6D"/>
    <w:rsid w:val="00B35DC6"/>
    <w:rsid w:val="00B4312D"/>
    <w:rsid w:val="00B466DD"/>
    <w:rsid w:val="00B51699"/>
    <w:rsid w:val="00B53F9B"/>
    <w:rsid w:val="00B53FAF"/>
    <w:rsid w:val="00B56178"/>
    <w:rsid w:val="00B63153"/>
    <w:rsid w:val="00B6527D"/>
    <w:rsid w:val="00B70B17"/>
    <w:rsid w:val="00B73B3A"/>
    <w:rsid w:val="00B74507"/>
    <w:rsid w:val="00B747F3"/>
    <w:rsid w:val="00B75718"/>
    <w:rsid w:val="00B75E7E"/>
    <w:rsid w:val="00B81422"/>
    <w:rsid w:val="00B92005"/>
    <w:rsid w:val="00B93817"/>
    <w:rsid w:val="00B973C2"/>
    <w:rsid w:val="00BA0B96"/>
    <w:rsid w:val="00BB15DA"/>
    <w:rsid w:val="00BB340D"/>
    <w:rsid w:val="00BB4C96"/>
    <w:rsid w:val="00BC2A3A"/>
    <w:rsid w:val="00BC43AB"/>
    <w:rsid w:val="00BC64EC"/>
    <w:rsid w:val="00BD073D"/>
    <w:rsid w:val="00BE2E7C"/>
    <w:rsid w:val="00BF02E7"/>
    <w:rsid w:val="00BF3AFD"/>
    <w:rsid w:val="00C0727C"/>
    <w:rsid w:val="00C1606C"/>
    <w:rsid w:val="00C1720E"/>
    <w:rsid w:val="00C20EEA"/>
    <w:rsid w:val="00C23180"/>
    <w:rsid w:val="00C33731"/>
    <w:rsid w:val="00C41492"/>
    <w:rsid w:val="00C4157B"/>
    <w:rsid w:val="00C53BFC"/>
    <w:rsid w:val="00C702B5"/>
    <w:rsid w:val="00C70389"/>
    <w:rsid w:val="00C7341F"/>
    <w:rsid w:val="00C86C02"/>
    <w:rsid w:val="00C904B6"/>
    <w:rsid w:val="00C96DF4"/>
    <w:rsid w:val="00C975AA"/>
    <w:rsid w:val="00C97C2E"/>
    <w:rsid w:val="00CA43E4"/>
    <w:rsid w:val="00CB08A0"/>
    <w:rsid w:val="00CC00BA"/>
    <w:rsid w:val="00CC051D"/>
    <w:rsid w:val="00CC1337"/>
    <w:rsid w:val="00CC48DF"/>
    <w:rsid w:val="00CC6AC4"/>
    <w:rsid w:val="00CD70E7"/>
    <w:rsid w:val="00CD7363"/>
    <w:rsid w:val="00CE0C1F"/>
    <w:rsid w:val="00CE455F"/>
    <w:rsid w:val="00CE4ADD"/>
    <w:rsid w:val="00CE687E"/>
    <w:rsid w:val="00CF0163"/>
    <w:rsid w:val="00CF0BF9"/>
    <w:rsid w:val="00CF5957"/>
    <w:rsid w:val="00CF7742"/>
    <w:rsid w:val="00D04BA2"/>
    <w:rsid w:val="00D077B0"/>
    <w:rsid w:val="00D21234"/>
    <w:rsid w:val="00D22D42"/>
    <w:rsid w:val="00D2358B"/>
    <w:rsid w:val="00D36D8D"/>
    <w:rsid w:val="00D42378"/>
    <w:rsid w:val="00D44421"/>
    <w:rsid w:val="00D45711"/>
    <w:rsid w:val="00D500FC"/>
    <w:rsid w:val="00D51597"/>
    <w:rsid w:val="00D5326E"/>
    <w:rsid w:val="00D55867"/>
    <w:rsid w:val="00D634A3"/>
    <w:rsid w:val="00D6360E"/>
    <w:rsid w:val="00D72339"/>
    <w:rsid w:val="00D73E47"/>
    <w:rsid w:val="00D74ABB"/>
    <w:rsid w:val="00D8108D"/>
    <w:rsid w:val="00D816FA"/>
    <w:rsid w:val="00D83CB7"/>
    <w:rsid w:val="00D87371"/>
    <w:rsid w:val="00D97FA8"/>
    <w:rsid w:val="00DA6FD3"/>
    <w:rsid w:val="00DC7B25"/>
    <w:rsid w:val="00DD6B73"/>
    <w:rsid w:val="00DE52CF"/>
    <w:rsid w:val="00DE6366"/>
    <w:rsid w:val="00DF0AB8"/>
    <w:rsid w:val="00DF31D9"/>
    <w:rsid w:val="00E112C9"/>
    <w:rsid w:val="00E158F7"/>
    <w:rsid w:val="00E2087E"/>
    <w:rsid w:val="00E347F2"/>
    <w:rsid w:val="00E36818"/>
    <w:rsid w:val="00E40EB7"/>
    <w:rsid w:val="00E47B97"/>
    <w:rsid w:val="00E47C25"/>
    <w:rsid w:val="00E5203C"/>
    <w:rsid w:val="00E61C65"/>
    <w:rsid w:val="00E6326D"/>
    <w:rsid w:val="00E634CC"/>
    <w:rsid w:val="00E65705"/>
    <w:rsid w:val="00E66ED5"/>
    <w:rsid w:val="00E82F0E"/>
    <w:rsid w:val="00E96FAC"/>
    <w:rsid w:val="00EA129F"/>
    <w:rsid w:val="00EA1FCC"/>
    <w:rsid w:val="00ED0582"/>
    <w:rsid w:val="00ED39A3"/>
    <w:rsid w:val="00EE31F6"/>
    <w:rsid w:val="00EE36DC"/>
    <w:rsid w:val="00EF4181"/>
    <w:rsid w:val="00F00E7D"/>
    <w:rsid w:val="00F044EE"/>
    <w:rsid w:val="00F12820"/>
    <w:rsid w:val="00F15839"/>
    <w:rsid w:val="00F3320B"/>
    <w:rsid w:val="00F40E92"/>
    <w:rsid w:val="00F41947"/>
    <w:rsid w:val="00F435AA"/>
    <w:rsid w:val="00F54F30"/>
    <w:rsid w:val="00F76C6A"/>
    <w:rsid w:val="00F77F10"/>
    <w:rsid w:val="00F83BF1"/>
    <w:rsid w:val="00F85C11"/>
    <w:rsid w:val="00F87749"/>
    <w:rsid w:val="00F90CB9"/>
    <w:rsid w:val="00F91F76"/>
    <w:rsid w:val="00F97373"/>
    <w:rsid w:val="00FA50A7"/>
    <w:rsid w:val="00FA6854"/>
    <w:rsid w:val="00FB064F"/>
    <w:rsid w:val="00FB144F"/>
    <w:rsid w:val="00FB159A"/>
    <w:rsid w:val="00FB4D77"/>
    <w:rsid w:val="00FB6E2B"/>
    <w:rsid w:val="00FC497D"/>
    <w:rsid w:val="00FD076B"/>
    <w:rsid w:val="00FD31EF"/>
    <w:rsid w:val="00FF3782"/>
    <w:rsid w:val="00FF5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EE4B44"/>
  <w15:docId w15:val="{9F3B6C39-899C-4FAF-A2B7-BC553426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Grid2">
    <w:name w:val="Table Grid2"/>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C7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B09DE"/>
    <w:rPr>
      <w:sz w:val="16"/>
      <w:szCs w:val="16"/>
    </w:rPr>
  </w:style>
  <w:style w:type="paragraph" w:styleId="Kommentartext">
    <w:name w:val="annotation text"/>
    <w:basedOn w:val="Standard"/>
    <w:link w:val="KommentartextZchn"/>
    <w:uiPriority w:val="99"/>
    <w:semiHidden/>
    <w:unhideWhenUsed/>
    <w:rsid w:val="004B09DE"/>
    <w:rPr>
      <w:sz w:val="20"/>
      <w:szCs w:val="20"/>
    </w:rPr>
  </w:style>
  <w:style w:type="character" w:customStyle="1" w:styleId="KommentartextZchn">
    <w:name w:val="Kommentartext Zchn"/>
    <w:basedOn w:val="Absatz-Standardschriftart"/>
    <w:link w:val="Kommentartext"/>
    <w:uiPriority w:val="99"/>
    <w:semiHidden/>
    <w:rsid w:val="004B09DE"/>
    <w:rPr>
      <w:sz w:val="20"/>
      <w:szCs w:val="20"/>
      <w:lang w:eastAsia="en-US"/>
    </w:rPr>
  </w:style>
  <w:style w:type="paragraph" w:styleId="Kommentarthema">
    <w:name w:val="annotation subject"/>
    <w:basedOn w:val="Kommentartext"/>
    <w:next w:val="Kommentartext"/>
    <w:link w:val="KommentarthemaZchn"/>
    <w:uiPriority w:val="99"/>
    <w:semiHidden/>
    <w:unhideWhenUsed/>
    <w:rsid w:val="004B09DE"/>
    <w:rPr>
      <w:b/>
      <w:bCs/>
    </w:rPr>
  </w:style>
  <w:style w:type="character" w:customStyle="1" w:styleId="KommentarthemaZchn">
    <w:name w:val="Kommentarthema Zchn"/>
    <w:basedOn w:val="KommentartextZchn"/>
    <w:link w:val="Kommentarthema"/>
    <w:uiPriority w:val="99"/>
    <w:semiHidden/>
    <w:rsid w:val="004B09D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https://www.grossmann-berger.de/en/company/press-portfolio/terms-of-use-for-press-materi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en/company/press-portfolio"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s://www.grossmann-berger.de/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en/well-informed/market-reports-and-price-trends" TargetMode="External"/><Relationship Id="rId14" Type="http://schemas.openxmlformats.org/officeDocument/2006/relationships/hyperlink" Target="https://www.grossmann-berger.de/en/privacy" TargetMode="External"/><Relationship Id="rId22" Type="http://schemas.openxmlformats.org/officeDocument/2006/relationships/fontTable" Target="fontTable.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0584-05D3-4E1A-9452-FE7A5E69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5653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bi</dc:creator>
  <cp:lastModifiedBy>Katharina Koester</cp:lastModifiedBy>
  <cp:revision>2</cp:revision>
  <cp:lastPrinted>2022-10-11T07:08:00Z</cp:lastPrinted>
  <dcterms:created xsi:type="dcterms:W3CDTF">2022-10-12T08:54:00Z</dcterms:created>
  <dcterms:modified xsi:type="dcterms:W3CDTF">2022-10-12T08:54:00Z</dcterms:modified>
</cp:coreProperties>
</file>