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F6DA" w14:textId="7D026FE0" w:rsidR="00F87749" w:rsidRDefault="005A3406" w:rsidP="000C770D">
      <w:pPr>
        <w:spacing w:after="0" w:line="360" w:lineRule="auto"/>
        <w:rPr>
          <w:rFonts w:ascii="Arial" w:hAnsi="Arial" w:cs="Arial"/>
          <w:b/>
        </w:rPr>
      </w:pPr>
      <w:r>
        <w:rPr>
          <w:rFonts w:ascii="Arial" w:hAnsi="Arial"/>
          <w:b/>
        </w:rPr>
        <w:t>Berlin: Investment market, 1st-4th q</w:t>
      </w:r>
      <w:r w:rsidR="00C86C02">
        <w:rPr>
          <w:rFonts w:ascii="Arial" w:hAnsi="Arial"/>
          <w:b/>
        </w:rPr>
        <w:t>uarters of 2022</w:t>
      </w:r>
    </w:p>
    <w:p w14:paraId="525E7BEC" w14:textId="796A8BF7" w:rsidR="00004FEC" w:rsidRPr="0090748B" w:rsidRDefault="00546610" w:rsidP="00590903">
      <w:pPr>
        <w:spacing w:after="0" w:line="360" w:lineRule="auto"/>
        <w:jc w:val="both"/>
        <w:rPr>
          <w:rFonts w:ascii="Arial" w:hAnsi="Arial" w:cs="Arial"/>
          <w:b/>
          <w:sz w:val="20"/>
          <w:szCs w:val="20"/>
        </w:rPr>
      </w:pPr>
      <w:r>
        <w:rPr>
          <w:rFonts w:ascii="Arial" w:hAnsi="Arial"/>
          <w:b/>
          <w:sz w:val="28"/>
          <w:szCs w:val="28"/>
        </w:rPr>
        <w:t>Small-scale transactions instead of the typical large-volume trades</w:t>
      </w:r>
    </w:p>
    <w:p w14:paraId="5B6FC281" w14:textId="04195A61" w:rsidR="00153029" w:rsidRDefault="00FA50A7" w:rsidP="0029474A">
      <w:pPr>
        <w:spacing w:after="0" w:line="360" w:lineRule="auto"/>
        <w:rPr>
          <w:rFonts w:ascii="Arial" w:hAnsi="Arial" w:cs="Arial"/>
          <w:sz w:val="20"/>
          <w:szCs w:val="20"/>
        </w:rPr>
      </w:pPr>
      <w:r>
        <w:rPr>
          <w:rFonts w:ascii="Arial" w:hAnsi="Arial"/>
          <w:b/>
          <w:sz w:val="20"/>
          <w:szCs w:val="20"/>
        </w:rPr>
        <w:t>Berlin, 03 January 2023</w:t>
      </w:r>
      <w:r>
        <w:rPr>
          <w:rFonts w:ascii="Arial" w:hAnsi="Arial"/>
          <w:sz w:val="20"/>
          <w:szCs w:val="20"/>
        </w:rPr>
        <w:t xml:space="preserve"> – Wait-and-see stances and protra</w:t>
      </w:r>
      <w:r w:rsidR="00B71A72">
        <w:rPr>
          <w:rFonts w:ascii="Arial" w:hAnsi="Arial"/>
          <w:sz w:val="20"/>
          <w:szCs w:val="20"/>
        </w:rPr>
        <w:t xml:space="preserve">cted sales negotiations </w:t>
      </w:r>
      <w:r>
        <w:rPr>
          <w:rFonts w:ascii="Arial" w:hAnsi="Arial"/>
          <w:sz w:val="20"/>
          <w:szCs w:val="20"/>
        </w:rPr>
        <w:t>slowed business on the investment market for commercial real estate in Berlin up to and including the 4th quarter. By the end of the year the volume of transactions had reached €7.8bn, which translates into a year on year decline of 26</w:t>
      </w:r>
      <w:r w:rsidR="00B71A72">
        <w:rPr>
          <w:rFonts w:ascii="Arial" w:hAnsi="Arial"/>
          <w:sz w:val="20"/>
          <w:szCs w:val="20"/>
        </w:rPr>
        <w:t> </w:t>
      </w:r>
      <w:r>
        <w:rPr>
          <w:rFonts w:ascii="Arial" w:hAnsi="Arial"/>
          <w:sz w:val="20"/>
          <w:szCs w:val="20"/>
        </w:rPr>
        <w:t xml:space="preserve">%. This result is </w:t>
      </w:r>
      <w:r w:rsidR="00B71A72">
        <w:rPr>
          <w:rFonts w:ascii="Arial" w:hAnsi="Arial"/>
          <w:sz w:val="20"/>
          <w:szCs w:val="20"/>
        </w:rPr>
        <w:t>appreciably lower than</w:t>
      </w:r>
      <w:r>
        <w:rPr>
          <w:rFonts w:ascii="Arial" w:hAnsi="Arial"/>
          <w:sz w:val="20"/>
          <w:szCs w:val="20"/>
        </w:rPr>
        <w:t xml:space="preserve"> the five-year average of €8.7bn but well above the ten-year average of €7.1bn.</w:t>
      </w:r>
    </w:p>
    <w:p w14:paraId="4BD602D3" w14:textId="77777777" w:rsidR="00153029" w:rsidRDefault="00153029" w:rsidP="0029474A">
      <w:pPr>
        <w:spacing w:after="0" w:line="360" w:lineRule="auto"/>
        <w:rPr>
          <w:rFonts w:ascii="Arial" w:hAnsi="Arial" w:cs="Arial"/>
          <w:sz w:val="20"/>
          <w:szCs w:val="20"/>
        </w:rPr>
      </w:pPr>
    </w:p>
    <w:p w14:paraId="28DDA738" w14:textId="18CE939C" w:rsidR="00004FEC" w:rsidRDefault="00BB7641" w:rsidP="0029474A">
      <w:pPr>
        <w:spacing w:after="0" w:line="360" w:lineRule="auto"/>
        <w:rPr>
          <w:rFonts w:ascii="Arial" w:hAnsi="Arial" w:cs="Arial"/>
          <w:sz w:val="20"/>
          <w:szCs w:val="20"/>
        </w:rPr>
      </w:pPr>
      <w:r>
        <w:rPr>
          <w:rFonts w:ascii="Arial" w:hAnsi="Arial"/>
          <w:i/>
          <w:sz w:val="20"/>
          <w:szCs w:val="20"/>
        </w:rPr>
        <w:t>“Towards the end of the year increased and volatile interest rates characterized the market for commercial property trading in Berlin.</w:t>
      </w:r>
      <w:r>
        <w:rPr>
          <w:rFonts w:ascii="Arial" w:hAnsi="Arial"/>
          <w:sz w:val="20"/>
          <w:szCs w:val="20"/>
        </w:rPr>
        <w:t xml:space="preserve"> </w:t>
      </w:r>
      <w:r>
        <w:rPr>
          <w:rFonts w:ascii="Arial" w:hAnsi="Arial"/>
          <w:i/>
          <w:sz w:val="20"/>
          <w:szCs w:val="20"/>
        </w:rPr>
        <w:t xml:space="preserve">Investors still do not have a reliable basis on which to </w:t>
      </w:r>
      <w:proofErr w:type="spellStart"/>
      <w:r>
        <w:rPr>
          <w:rFonts w:ascii="Arial" w:hAnsi="Arial"/>
          <w:i/>
          <w:sz w:val="20"/>
          <w:szCs w:val="20"/>
        </w:rPr>
        <w:t>asses</w:t>
      </w:r>
      <w:proofErr w:type="spellEnd"/>
      <w:r>
        <w:rPr>
          <w:rFonts w:ascii="Arial" w:hAnsi="Arial"/>
          <w:i/>
          <w:sz w:val="20"/>
          <w:szCs w:val="20"/>
        </w:rPr>
        <w:t xml:space="preserve"> the costs of buying a property</w:t>
      </w:r>
      <w:r>
        <w:rPr>
          <w:rFonts w:ascii="Arial" w:hAnsi="Arial"/>
          <w:sz w:val="20"/>
          <w:szCs w:val="20"/>
        </w:rPr>
        <w:t>“, says</w:t>
      </w:r>
      <w:r>
        <w:t xml:space="preserve"> </w:t>
      </w:r>
      <w:r>
        <w:rPr>
          <w:rFonts w:ascii="Arial" w:hAnsi="Arial"/>
          <w:b/>
          <w:sz w:val="20"/>
          <w:szCs w:val="20"/>
        </w:rPr>
        <w:t>Sandra Ludwig</w:t>
      </w:r>
      <w:r>
        <w:rPr>
          <w:rFonts w:ascii="Arial" w:hAnsi="Arial"/>
          <w:sz w:val="20"/>
          <w:szCs w:val="20"/>
        </w:rPr>
        <w:t>, managing d</w:t>
      </w:r>
      <w:r w:rsidR="005A3406">
        <w:rPr>
          <w:rFonts w:ascii="Arial" w:hAnsi="Arial"/>
          <w:sz w:val="20"/>
          <w:szCs w:val="20"/>
        </w:rPr>
        <w:t>irector of Grossmann &amp; Berger,</w:t>
      </w:r>
      <w:bookmarkStart w:id="0" w:name="_GoBack"/>
      <w:bookmarkEnd w:id="0"/>
      <w:r>
        <w:rPr>
          <w:rFonts w:ascii="Arial" w:hAnsi="Arial"/>
          <w:sz w:val="20"/>
          <w:szCs w:val="20"/>
        </w:rPr>
        <w:t xml:space="preserve"> member of German Property Partners (GPP). Many sales processes were delayed or broken off altogether</w:t>
      </w:r>
      <w:r w:rsidR="00B71A72">
        <w:rPr>
          <w:rFonts w:ascii="Arial" w:hAnsi="Arial"/>
          <w:sz w:val="20"/>
          <w:szCs w:val="20"/>
        </w:rPr>
        <w:t>.</w:t>
      </w:r>
      <w:r>
        <w:rPr>
          <w:rFonts w:ascii="Arial" w:hAnsi="Arial"/>
          <w:sz w:val="20"/>
          <w:szCs w:val="20"/>
        </w:rPr>
        <w:t xml:space="preserve"> Above all in the 2nd half year institutional investors became conspicuously cautious.</w:t>
      </w:r>
    </w:p>
    <w:p w14:paraId="11E9E1A5" w14:textId="54822013" w:rsidR="005B2A58" w:rsidRDefault="005B2A58" w:rsidP="0029474A">
      <w:pPr>
        <w:spacing w:after="0" w:line="360" w:lineRule="auto"/>
        <w:rPr>
          <w:rFonts w:ascii="Arial" w:hAnsi="Arial" w:cs="Arial"/>
          <w:sz w:val="20"/>
          <w:szCs w:val="20"/>
        </w:rPr>
      </w:pPr>
    </w:p>
    <w:p w14:paraId="66024511" w14:textId="6A5B85B9" w:rsidR="003F0987" w:rsidRPr="00BB7641" w:rsidRDefault="005B2A58" w:rsidP="0029474A">
      <w:pPr>
        <w:spacing w:after="0" w:line="360" w:lineRule="auto"/>
        <w:rPr>
          <w:rFonts w:ascii="Arial" w:hAnsi="Arial" w:cs="Arial"/>
          <w:i/>
          <w:sz w:val="20"/>
          <w:szCs w:val="20"/>
        </w:rPr>
      </w:pPr>
      <w:r>
        <w:rPr>
          <w:rFonts w:ascii="Arial" w:hAnsi="Arial"/>
          <w:b/>
          <w:sz w:val="20"/>
          <w:szCs w:val="20"/>
        </w:rPr>
        <w:t>Ludwig’s</w:t>
      </w:r>
      <w:r>
        <w:rPr>
          <w:rFonts w:ascii="Arial" w:hAnsi="Arial"/>
          <w:sz w:val="20"/>
          <w:szCs w:val="20"/>
        </w:rPr>
        <w:t xml:space="preserve"> forecast for the coming year is, </w:t>
      </w:r>
      <w:r>
        <w:rPr>
          <w:rFonts w:ascii="Arial" w:hAnsi="Arial"/>
          <w:i/>
          <w:sz w:val="20"/>
          <w:szCs w:val="20"/>
        </w:rPr>
        <w:t>“In 2023 interest rates and the political situation in Eastern Europe will continue to rattle investors. In the middle of the year we expect to see a partial recovery, if stable interest rates permit more reliable cost calculations.”</w:t>
      </w:r>
    </w:p>
    <w:p w14:paraId="40A163F9" w14:textId="2DF535D9" w:rsidR="00A070B6" w:rsidRDefault="00A070B6" w:rsidP="0029474A">
      <w:pPr>
        <w:spacing w:after="0" w:line="360" w:lineRule="auto"/>
        <w:rPr>
          <w:rFonts w:ascii="Arial" w:hAnsi="Arial" w:cs="Arial"/>
          <w:sz w:val="20"/>
          <w:szCs w:val="20"/>
        </w:rPr>
      </w:pPr>
    </w:p>
    <w:p w14:paraId="030350E8" w14:textId="3BC4E01D" w:rsidR="0039183F" w:rsidRPr="00BB7641" w:rsidRDefault="00710607" w:rsidP="00BB7641">
      <w:pPr>
        <w:spacing w:after="0" w:line="360" w:lineRule="auto"/>
        <w:textAlignment w:val="baseline"/>
        <w:rPr>
          <w:rFonts w:ascii="Arial" w:hAnsi="Arial" w:cs="Arial"/>
          <w:b/>
          <w:sz w:val="20"/>
          <w:szCs w:val="20"/>
        </w:rPr>
      </w:pPr>
      <w:r>
        <w:rPr>
          <w:rFonts w:ascii="Arial" w:hAnsi="Arial"/>
          <w:b/>
          <w:sz w:val="20"/>
          <w:szCs w:val="20"/>
        </w:rPr>
        <w:t xml:space="preserve">Market details: </w:t>
      </w:r>
    </w:p>
    <w:p w14:paraId="78D8938D" w14:textId="30B5AB84" w:rsidR="006D4101" w:rsidRPr="006D4101" w:rsidRDefault="00173FDB" w:rsidP="00462923">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Office properties were the most popular </w:t>
      </w:r>
      <w:r>
        <w:rPr>
          <w:rFonts w:ascii="Arial" w:hAnsi="Arial"/>
          <w:sz w:val="20"/>
          <w:szCs w:val="20"/>
          <w:u w:val="single"/>
        </w:rPr>
        <w:t>class of assets</w:t>
      </w:r>
      <w:r>
        <w:rPr>
          <w:rFonts w:ascii="Arial" w:hAnsi="Arial"/>
          <w:sz w:val="20"/>
          <w:szCs w:val="20"/>
        </w:rPr>
        <w:t>, accounting for 73 % of total demand. Mixed-use properties were the only other asset class to post a two-figure share of the total traded (10 %). Building land took third place, with some 7 % of the market.</w:t>
      </w:r>
    </w:p>
    <w:p w14:paraId="70F7C34C" w14:textId="00C68D78" w:rsidR="00E77773" w:rsidRPr="00004FEC" w:rsidRDefault="00862E02" w:rsidP="00004FEC">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Transactions falling into the </w:t>
      </w:r>
      <w:r>
        <w:rPr>
          <w:rFonts w:ascii="Arial" w:hAnsi="Arial"/>
          <w:sz w:val="20"/>
          <w:szCs w:val="20"/>
          <w:u w:val="single"/>
        </w:rPr>
        <w:t>price category</w:t>
      </w:r>
      <w:r>
        <w:rPr>
          <w:rFonts w:ascii="Arial" w:hAnsi="Arial"/>
          <w:sz w:val="20"/>
          <w:szCs w:val="20"/>
        </w:rPr>
        <w:t xml:space="preserve"> of €100m or more accounted for a majority of the total traded, as was the case a year ago. However, this category’s 2022 share of 67 % consisted of 24 trades and thus far fewer than in 2021 (34). Trailing some way behind came the next two price categories, €51m to €100m (17 %) and €26m to €50m (11 %).</w:t>
      </w:r>
    </w:p>
    <w:p w14:paraId="6030F7C8" w14:textId="6297771D" w:rsidR="00E77773" w:rsidRPr="00E77773" w:rsidRDefault="00E77773" w:rsidP="00462923">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Portfolio sales</w:t>
      </w:r>
      <w:r>
        <w:rPr>
          <w:rFonts w:ascii="Arial" w:hAnsi="Arial"/>
          <w:sz w:val="20"/>
          <w:szCs w:val="20"/>
        </w:rPr>
        <w:t xml:space="preserve"> generated about 34 % of the total traded.</w:t>
      </w:r>
    </w:p>
    <w:p w14:paraId="580C67C0" w14:textId="67C16F78" w:rsidR="00F54F30" w:rsidRPr="00E77773" w:rsidRDefault="00E77773" w:rsidP="00F54F30">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u w:val="single"/>
        </w:rPr>
        <w:t>International investors</w:t>
      </w:r>
      <w:r>
        <w:rPr>
          <w:rFonts w:ascii="Arial" w:hAnsi="Arial"/>
          <w:sz w:val="20"/>
          <w:szCs w:val="20"/>
        </w:rPr>
        <w:t xml:space="preserve"> comprised around 60 % of the market. By contrast with the 1st half year (71 %) they have become noticeably more cautious, accounting for 58 % in the 2nd half year.</w:t>
      </w:r>
    </w:p>
    <w:p w14:paraId="05FC4BCF" w14:textId="02DE49EE" w:rsidR="00192A39" w:rsidRPr="00787C24" w:rsidRDefault="00C66B88" w:rsidP="00C66B88">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Investment managers were the most active </w:t>
      </w:r>
      <w:r>
        <w:rPr>
          <w:rFonts w:ascii="Arial" w:hAnsi="Arial"/>
          <w:sz w:val="20"/>
          <w:szCs w:val="20"/>
          <w:u w:val="single"/>
        </w:rPr>
        <w:t>group of buyers</w:t>
      </w:r>
      <w:r>
        <w:rPr>
          <w:rFonts w:ascii="Arial" w:hAnsi="Arial"/>
          <w:sz w:val="20"/>
          <w:szCs w:val="20"/>
        </w:rPr>
        <w:t xml:space="preserve"> (16 %) but compared with the previous year their market share declined by some 46 %. This is attributable to caution and uncertainty on the part of their institutional investors. Second place was occupied by professionals’ pension schemes and pension funds (14 %), followed by open-ended property mutual funds (10 %).</w:t>
      </w:r>
    </w:p>
    <w:p w14:paraId="027DE88D" w14:textId="25BF8EF8" w:rsidR="00192A39" w:rsidRPr="008238F0" w:rsidRDefault="006D4101" w:rsidP="006D4101">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 xml:space="preserve">As </w:t>
      </w:r>
      <w:r>
        <w:rPr>
          <w:rFonts w:ascii="Arial" w:hAnsi="Arial"/>
          <w:sz w:val="20"/>
          <w:szCs w:val="20"/>
          <w:u w:val="single"/>
        </w:rPr>
        <w:t>vendors</w:t>
      </w:r>
      <w:r>
        <w:rPr>
          <w:rFonts w:ascii="Arial" w:hAnsi="Arial"/>
          <w:sz w:val="20"/>
          <w:szCs w:val="20"/>
        </w:rPr>
        <w:t>, investment managers (21 %) replaced listed real estate investment AGs/REITs as the biggest player group in the 4th quarter. Developers took second place, with some 16 % of the market.</w:t>
      </w:r>
    </w:p>
    <w:p w14:paraId="761B7D3F" w14:textId="4695A08C" w:rsidR="006D4101" w:rsidRPr="00CD1091" w:rsidRDefault="00CD1091" w:rsidP="00CD1091">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t>Berlin-</w:t>
      </w:r>
      <w:proofErr w:type="spellStart"/>
      <w:r>
        <w:rPr>
          <w:rFonts w:ascii="Arial" w:hAnsi="Arial"/>
          <w:sz w:val="20"/>
          <w:szCs w:val="20"/>
        </w:rPr>
        <w:t>Mitte</w:t>
      </w:r>
      <w:proofErr w:type="spellEnd"/>
      <w:r>
        <w:rPr>
          <w:rFonts w:ascii="Arial" w:hAnsi="Arial"/>
          <w:sz w:val="20"/>
          <w:szCs w:val="20"/>
        </w:rPr>
        <w:t xml:space="preserve"> </w:t>
      </w:r>
      <w:r>
        <w:rPr>
          <w:rFonts w:ascii="Arial" w:hAnsi="Arial"/>
          <w:sz w:val="20"/>
          <w:szCs w:val="20"/>
          <w:u w:val="single"/>
        </w:rPr>
        <w:t>sub-market</w:t>
      </w:r>
      <w:r>
        <w:rPr>
          <w:rFonts w:ascii="Arial" w:hAnsi="Arial"/>
          <w:sz w:val="20"/>
          <w:szCs w:val="20"/>
        </w:rPr>
        <w:t xml:space="preserve"> accounted for </w:t>
      </w:r>
      <w:r w:rsidR="007D505F">
        <w:rPr>
          <w:rFonts w:ascii="Arial" w:hAnsi="Arial"/>
          <w:sz w:val="20"/>
          <w:szCs w:val="20"/>
        </w:rPr>
        <w:t>t</w:t>
      </w:r>
      <w:r>
        <w:rPr>
          <w:rFonts w:ascii="Arial" w:hAnsi="Arial"/>
          <w:sz w:val="20"/>
          <w:szCs w:val="20"/>
        </w:rPr>
        <w:t xml:space="preserve">he largest share of the transaction volume (23 %), ahead of </w:t>
      </w:r>
      <w:proofErr w:type="spellStart"/>
      <w:r>
        <w:rPr>
          <w:rFonts w:ascii="Arial" w:hAnsi="Arial"/>
          <w:sz w:val="20"/>
          <w:szCs w:val="20"/>
        </w:rPr>
        <w:t>Tiergarten</w:t>
      </w:r>
      <w:proofErr w:type="spellEnd"/>
      <w:r>
        <w:rPr>
          <w:rFonts w:ascii="Arial" w:hAnsi="Arial"/>
          <w:sz w:val="20"/>
          <w:szCs w:val="20"/>
        </w:rPr>
        <w:t xml:space="preserve"> (14 %) and </w:t>
      </w:r>
      <w:proofErr w:type="spellStart"/>
      <w:r>
        <w:rPr>
          <w:rFonts w:ascii="Arial" w:hAnsi="Arial"/>
          <w:sz w:val="20"/>
          <w:szCs w:val="20"/>
        </w:rPr>
        <w:t>Potsdamer</w:t>
      </w:r>
      <w:proofErr w:type="spellEnd"/>
      <w:r>
        <w:rPr>
          <w:rFonts w:ascii="Arial" w:hAnsi="Arial"/>
          <w:sz w:val="20"/>
          <w:szCs w:val="20"/>
        </w:rPr>
        <w:t>/</w:t>
      </w:r>
      <w:proofErr w:type="spellStart"/>
      <w:r>
        <w:rPr>
          <w:rFonts w:ascii="Arial" w:hAnsi="Arial"/>
          <w:sz w:val="20"/>
          <w:szCs w:val="20"/>
        </w:rPr>
        <w:t>Leipziger</w:t>
      </w:r>
      <w:proofErr w:type="spellEnd"/>
      <w:r>
        <w:rPr>
          <w:rFonts w:ascii="Arial" w:hAnsi="Arial"/>
          <w:sz w:val="20"/>
          <w:szCs w:val="20"/>
        </w:rPr>
        <w:t xml:space="preserve"> </w:t>
      </w:r>
      <w:proofErr w:type="spellStart"/>
      <w:r>
        <w:rPr>
          <w:rFonts w:ascii="Arial" w:hAnsi="Arial"/>
          <w:sz w:val="20"/>
          <w:szCs w:val="20"/>
        </w:rPr>
        <w:t>Platz</w:t>
      </w:r>
      <w:proofErr w:type="spellEnd"/>
      <w:r>
        <w:rPr>
          <w:rFonts w:ascii="Arial" w:hAnsi="Arial"/>
          <w:sz w:val="20"/>
          <w:szCs w:val="20"/>
        </w:rPr>
        <w:t xml:space="preserve"> (10 %).</w:t>
      </w:r>
    </w:p>
    <w:p w14:paraId="547B8A7C" w14:textId="74C7EEE6" w:rsidR="00862E02" w:rsidRDefault="006778B1" w:rsidP="008D0A26">
      <w:pPr>
        <w:pStyle w:val="Listenabsatz"/>
        <w:numPr>
          <w:ilvl w:val="0"/>
          <w:numId w:val="20"/>
        </w:numPr>
        <w:spacing w:after="0" w:line="360" w:lineRule="auto"/>
        <w:textAlignment w:val="baseline"/>
        <w:rPr>
          <w:rFonts w:ascii="Arial" w:hAnsi="Arial" w:cs="Arial"/>
          <w:sz w:val="20"/>
          <w:szCs w:val="20"/>
        </w:rPr>
      </w:pPr>
      <w:r>
        <w:rPr>
          <w:rFonts w:ascii="Arial" w:hAnsi="Arial"/>
          <w:sz w:val="20"/>
          <w:szCs w:val="20"/>
        </w:rPr>
        <w:lastRenderedPageBreak/>
        <w:t xml:space="preserve">Because interest rates were high, </w:t>
      </w:r>
      <w:r>
        <w:rPr>
          <w:rFonts w:ascii="Arial" w:hAnsi="Arial"/>
          <w:sz w:val="20"/>
          <w:szCs w:val="20"/>
          <w:u w:val="single"/>
        </w:rPr>
        <w:t>prime yields</w:t>
      </w:r>
      <w:r>
        <w:rPr>
          <w:rFonts w:ascii="Arial" w:hAnsi="Arial"/>
          <w:sz w:val="20"/>
          <w:szCs w:val="20"/>
        </w:rPr>
        <w:t xml:space="preserve"> on every type of asset rose appreciably. Yields on office properties (3.00 %) and commercial buildings (3.25 %) rose by 0.30 and 0.45 percentage points respectively. The prime yield on logistics properties rose by 0.10 percentage points year on year to 3.50 %.</w:t>
      </w:r>
    </w:p>
    <w:p w14:paraId="72017643" w14:textId="13371B1F" w:rsidR="00787C24" w:rsidRPr="008F0C4C" w:rsidRDefault="006B1624" w:rsidP="008F0C4C">
      <w:pPr>
        <w:spacing w:after="0" w:line="360" w:lineRule="auto"/>
        <w:textAlignment w:val="baseline"/>
        <w:rPr>
          <w:rFonts w:ascii="Arial" w:hAnsi="Arial" w:cs="Arial"/>
          <w:sz w:val="20"/>
          <w:szCs w:val="20"/>
        </w:rPr>
      </w:pPr>
      <w:r>
        <w:rPr>
          <w:rFonts w:ascii="Arial" w:hAnsi="Arial"/>
          <w:noProof/>
          <w:color w:val="000000" w:themeColor="text1"/>
          <w:sz w:val="20"/>
          <w:szCs w:val="20"/>
          <w:lang w:val="de-DE" w:eastAsia="de-DE"/>
        </w:rPr>
        <w:drawing>
          <wp:anchor distT="0" distB="0" distL="114300" distR="114300" simplePos="0" relativeHeight="251659264" behindDoc="0" locked="0" layoutInCell="1" allowOverlap="1" wp14:anchorId="749AB96A" wp14:editId="49577016">
            <wp:simplePos x="0" y="0"/>
            <wp:positionH relativeFrom="margin">
              <wp:posOffset>3354070</wp:posOffset>
            </wp:positionH>
            <wp:positionV relativeFrom="paragraph">
              <wp:posOffset>255270</wp:posOffset>
            </wp:positionV>
            <wp:extent cx="2701290" cy="2275840"/>
            <wp:effectExtent l="19050" t="19050" r="22860" b="1016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e\5_PresseMITTEILUNGEN\Marktbericht Investment BERLIN\2022\2022 Q2\Grafiken\TAV_Berlin_2022Q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01290" cy="2275840"/>
                    </a:xfrm>
                    <a:prstGeom prst="rect">
                      <a:avLst/>
                    </a:prstGeom>
                    <a:noFill/>
                    <a:ln w="3175">
                      <a:solidFill>
                        <a:schemeClr val="tx1"/>
                      </a:solidFill>
                    </a:ln>
                  </pic:spPr>
                </pic:pic>
              </a:graphicData>
            </a:graphic>
            <wp14:sizeRelH relativeFrom="margin">
              <wp14:pctWidth>0</wp14:pctWidth>
            </wp14:sizeRelH>
          </wp:anchor>
        </w:drawing>
      </w:r>
    </w:p>
    <w:tbl>
      <w:tblPr>
        <w:tblStyle w:val="TableGrid2"/>
        <w:tblpPr w:leftFromText="141" w:rightFromText="141" w:vertAnchor="text" w:horzAnchor="margin" w:tblpY="45"/>
        <w:tblW w:w="0" w:type="auto"/>
        <w:tblLook w:val="04A0" w:firstRow="1" w:lastRow="0" w:firstColumn="1" w:lastColumn="0" w:noHBand="0" w:noVBand="1"/>
      </w:tblPr>
      <w:tblGrid>
        <w:gridCol w:w="3964"/>
        <w:gridCol w:w="993"/>
      </w:tblGrid>
      <w:tr w:rsidR="00C7341F" w:rsidRPr="006F49D0" w14:paraId="2F4A79AC" w14:textId="77777777" w:rsidTr="00CF0163">
        <w:trPr>
          <w:trHeight w:val="283"/>
        </w:trPr>
        <w:tc>
          <w:tcPr>
            <w:tcW w:w="3964" w:type="dxa"/>
            <w:shd w:val="clear" w:color="auto" w:fill="000000" w:themeFill="text1"/>
          </w:tcPr>
          <w:p w14:paraId="185DEA24" w14:textId="1BB84E6A" w:rsidR="00C7341F" w:rsidRPr="004712BA" w:rsidRDefault="00C7341F" w:rsidP="00C86C02">
            <w:pPr>
              <w:widowControl w:val="0"/>
              <w:spacing w:before="60" w:after="60"/>
              <w:jc w:val="both"/>
              <w:rPr>
                <w:rFonts w:ascii="Arial" w:hAnsi="Arial" w:cs="Arial"/>
                <w:b/>
                <w:sz w:val="18"/>
                <w:szCs w:val="16"/>
              </w:rPr>
            </w:pPr>
            <w:r>
              <w:rPr>
                <w:rFonts w:ascii="Arial" w:hAnsi="Arial"/>
                <w:b/>
                <w:sz w:val="20"/>
                <w:szCs w:val="20"/>
              </w:rPr>
              <w:t>Investment market | Berlin</w:t>
            </w:r>
            <w:r>
              <w:t xml:space="preserve"> </w:t>
            </w:r>
            <w:r>
              <w:rPr>
                <w:rFonts w:ascii="Arial" w:hAnsi="Arial"/>
                <w:b/>
                <w:sz w:val="20"/>
                <w:szCs w:val="20"/>
              </w:rPr>
              <w:t>| 2022</w:t>
            </w:r>
          </w:p>
        </w:tc>
        <w:tc>
          <w:tcPr>
            <w:tcW w:w="993" w:type="dxa"/>
            <w:shd w:val="clear" w:color="auto" w:fill="000000" w:themeFill="text1"/>
          </w:tcPr>
          <w:p w14:paraId="65EC24BE" w14:textId="73362F45" w:rsidR="00C7341F" w:rsidRPr="004712BA" w:rsidRDefault="005A3406" w:rsidP="00927886">
            <w:pPr>
              <w:widowControl w:val="0"/>
              <w:spacing w:before="60" w:after="60"/>
              <w:jc w:val="center"/>
              <w:rPr>
                <w:rFonts w:ascii="Arial" w:hAnsi="Arial" w:cs="Arial"/>
                <w:b/>
                <w:sz w:val="18"/>
                <w:szCs w:val="16"/>
              </w:rPr>
            </w:pPr>
            <w:r>
              <w:rPr>
                <w:rFonts w:ascii="Arial" w:hAnsi="Arial"/>
                <w:b/>
                <w:sz w:val="18"/>
                <w:szCs w:val="16"/>
              </w:rPr>
              <w:t>Q1</w:t>
            </w:r>
            <w:r w:rsidR="00C7341F">
              <w:rPr>
                <w:rFonts w:ascii="Arial" w:hAnsi="Arial"/>
                <w:b/>
                <w:sz w:val="18"/>
                <w:szCs w:val="16"/>
              </w:rPr>
              <w:t>-4</w:t>
            </w:r>
          </w:p>
        </w:tc>
      </w:tr>
      <w:tr w:rsidR="00C7341F" w:rsidRPr="006F49D0" w14:paraId="42F788D0" w14:textId="77777777" w:rsidTr="004C3D1A">
        <w:trPr>
          <w:trHeight w:val="193"/>
        </w:trPr>
        <w:tc>
          <w:tcPr>
            <w:tcW w:w="3964" w:type="dxa"/>
          </w:tcPr>
          <w:p w14:paraId="572A7D7F" w14:textId="77777777" w:rsidR="00C7341F" w:rsidRPr="004712BA" w:rsidRDefault="00C7341F" w:rsidP="00927886">
            <w:pPr>
              <w:widowControl w:val="0"/>
              <w:spacing w:before="40" w:after="40"/>
              <w:jc w:val="both"/>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993" w:type="dxa"/>
            <w:shd w:val="clear" w:color="auto" w:fill="auto"/>
            <w:vAlign w:val="center"/>
          </w:tcPr>
          <w:p w14:paraId="141D4BF4" w14:textId="5743DC9D" w:rsidR="00C7341F" w:rsidRPr="009C12BC" w:rsidRDefault="004C3D1A" w:rsidP="00A32BC5">
            <w:pPr>
              <w:widowControl w:val="0"/>
              <w:spacing w:before="40" w:after="40"/>
              <w:jc w:val="right"/>
              <w:rPr>
                <w:rFonts w:ascii="Arial" w:hAnsi="Arial" w:cs="Arial"/>
                <w:sz w:val="18"/>
                <w:szCs w:val="16"/>
                <w:highlight w:val="yellow"/>
              </w:rPr>
            </w:pPr>
            <w:r>
              <w:rPr>
                <w:rFonts w:ascii="Arial" w:hAnsi="Arial"/>
                <w:sz w:val="18"/>
                <w:szCs w:val="16"/>
              </w:rPr>
              <w:t>7,800</w:t>
            </w:r>
          </w:p>
        </w:tc>
      </w:tr>
      <w:tr w:rsidR="00C7341F" w:rsidRPr="006F49D0" w14:paraId="77D40A98" w14:textId="77777777" w:rsidTr="00CF0163">
        <w:trPr>
          <w:trHeight w:val="283"/>
        </w:trPr>
        <w:tc>
          <w:tcPr>
            <w:tcW w:w="3964" w:type="dxa"/>
          </w:tcPr>
          <w:p w14:paraId="2D485DBE" w14:textId="77777777" w:rsidR="00C7341F" w:rsidRPr="00A7575D"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993" w:type="dxa"/>
            <w:vAlign w:val="center"/>
          </w:tcPr>
          <w:p w14:paraId="4C41151E" w14:textId="78EB1198" w:rsidR="00C7341F" w:rsidRPr="009C12BC" w:rsidRDefault="00A32BC5" w:rsidP="004C3D1A">
            <w:pPr>
              <w:widowControl w:val="0"/>
              <w:spacing w:before="40" w:after="40"/>
              <w:jc w:val="right"/>
              <w:rPr>
                <w:rFonts w:ascii="Arial" w:hAnsi="Arial" w:cs="Arial"/>
                <w:sz w:val="18"/>
                <w:szCs w:val="16"/>
                <w:highlight w:val="yellow"/>
              </w:rPr>
            </w:pPr>
            <w:r>
              <w:rPr>
                <w:rFonts w:ascii="Arial" w:hAnsi="Arial"/>
                <w:sz w:val="18"/>
                <w:szCs w:val="16"/>
              </w:rPr>
              <w:t>-26</w:t>
            </w:r>
          </w:p>
        </w:tc>
      </w:tr>
      <w:tr w:rsidR="00C7341F" w:rsidRPr="006F49D0" w14:paraId="297EB5D3" w14:textId="77777777" w:rsidTr="00CF0163">
        <w:trPr>
          <w:trHeight w:val="283"/>
        </w:trPr>
        <w:tc>
          <w:tcPr>
            <w:tcW w:w="3964" w:type="dxa"/>
          </w:tcPr>
          <w:p w14:paraId="4DA1F0EA" w14:textId="77777777" w:rsidR="00C7341F" w:rsidRPr="00CF57DD" w:rsidRDefault="00C7341F" w:rsidP="00927886">
            <w:pPr>
              <w:widowControl w:val="0"/>
              <w:spacing w:before="40" w:after="40"/>
              <w:jc w:val="both"/>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993" w:type="dxa"/>
            <w:vAlign w:val="center"/>
          </w:tcPr>
          <w:p w14:paraId="58A41321" w14:textId="0CEBECB5" w:rsidR="00C7341F" w:rsidRPr="009C12BC" w:rsidRDefault="004C3D1A" w:rsidP="00E66ED5">
            <w:pPr>
              <w:widowControl w:val="0"/>
              <w:spacing w:before="40" w:after="40"/>
              <w:jc w:val="right"/>
              <w:rPr>
                <w:rFonts w:ascii="Arial" w:hAnsi="Arial" w:cs="Arial"/>
                <w:sz w:val="18"/>
                <w:szCs w:val="16"/>
                <w:highlight w:val="yellow"/>
              </w:rPr>
            </w:pPr>
            <w:r>
              <w:rPr>
                <w:rFonts w:ascii="Arial" w:hAnsi="Arial"/>
                <w:sz w:val="18"/>
                <w:szCs w:val="16"/>
              </w:rPr>
              <w:t>60</w:t>
            </w:r>
          </w:p>
        </w:tc>
      </w:tr>
      <w:tr w:rsidR="00C7341F" w:rsidRPr="006F49D0" w14:paraId="7A04E1EC" w14:textId="77777777" w:rsidTr="00CF0163">
        <w:trPr>
          <w:trHeight w:val="283"/>
        </w:trPr>
        <w:tc>
          <w:tcPr>
            <w:tcW w:w="3964" w:type="dxa"/>
          </w:tcPr>
          <w:p w14:paraId="7D123B83"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993" w:type="dxa"/>
            <w:vAlign w:val="center"/>
          </w:tcPr>
          <w:p w14:paraId="3F8204F4" w14:textId="1407DD5B" w:rsidR="00C7341F" w:rsidRPr="004C3D1A" w:rsidRDefault="004C3D1A" w:rsidP="00E66ED5">
            <w:pPr>
              <w:widowControl w:val="0"/>
              <w:spacing w:before="40" w:after="40"/>
              <w:jc w:val="right"/>
              <w:rPr>
                <w:rFonts w:ascii="Arial" w:hAnsi="Arial" w:cs="Arial"/>
                <w:sz w:val="18"/>
                <w:szCs w:val="16"/>
              </w:rPr>
            </w:pPr>
            <w:r>
              <w:rPr>
                <w:rFonts w:ascii="Arial" w:hAnsi="Arial"/>
                <w:sz w:val="18"/>
                <w:szCs w:val="16"/>
              </w:rPr>
              <w:t>3.0</w:t>
            </w:r>
          </w:p>
        </w:tc>
      </w:tr>
      <w:tr w:rsidR="00C7341F" w14:paraId="412D1554" w14:textId="77777777" w:rsidTr="00CF0163">
        <w:trPr>
          <w:trHeight w:val="283"/>
        </w:trPr>
        <w:tc>
          <w:tcPr>
            <w:tcW w:w="3964" w:type="dxa"/>
          </w:tcPr>
          <w:p w14:paraId="285C2069"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7154116A" w14:textId="389D9CF6" w:rsidR="00C7341F" w:rsidRPr="004C3D1A" w:rsidRDefault="00A32BC5" w:rsidP="004C3D1A">
            <w:pPr>
              <w:widowControl w:val="0"/>
              <w:spacing w:before="40" w:after="40"/>
              <w:jc w:val="right"/>
              <w:rPr>
                <w:rFonts w:ascii="Arial" w:hAnsi="Arial" w:cs="Arial"/>
                <w:sz w:val="18"/>
                <w:szCs w:val="16"/>
              </w:rPr>
            </w:pPr>
            <w:r>
              <w:rPr>
                <w:rFonts w:ascii="Arial" w:hAnsi="Arial"/>
                <w:sz w:val="18"/>
                <w:szCs w:val="16"/>
              </w:rPr>
              <w:t>+0.3</w:t>
            </w:r>
          </w:p>
        </w:tc>
      </w:tr>
      <w:tr w:rsidR="00C7341F" w:rsidRPr="006F49D0" w14:paraId="1F3F0D4C" w14:textId="77777777" w:rsidTr="00CF0163">
        <w:trPr>
          <w:trHeight w:val="283"/>
        </w:trPr>
        <w:tc>
          <w:tcPr>
            <w:tcW w:w="3964" w:type="dxa"/>
          </w:tcPr>
          <w:p w14:paraId="7998213C"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993" w:type="dxa"/>
            <w:vAlign w:val="center"/>
          </w:tcPr>
          <w:p w14:paraId="5C400650" w14:textId="05A761AC" w:rsidR="00C7341F" w:rsidRPr="004C3D1A" w:rsidRDefault="00A32BC5" w:rsidP="004C3D1A">
            <w:pPr>
              <w:widowControl w:val="0"/>
              <w:spacing w:before="40" w:after="40"/>
              <w:jc w:val="right"/>
              <w:rPr>
                <w:rFonts w:ascii="Arial" w:hAnsi="Arial" w:cs="Arial"/>
                <w:sz w:val="18"/>
                <w:szCs w:val="16"/>
              </w:rPr>
            </w:pPr>
            <w:r>
              <w:rPr>
                <w:rFonts w:ascii="Arial" w:hAnsi="Arial"/>
                <w:sz w:val="18"/>
                <w:szCs w:val="16"/>
              </w:rPr>
              <w:t>3.25</w:t>
            </w:r>
          </w:p>
        </w:tc>
      </w:tr>
      <w:tr w:rsidR="00C7341F" w14:paraId="7E04E2D1" w14:textId="77777777" w:rsidTr="00CF0163">
        <w:trPr>
          <w:trHeight w:val="283"/>
        </w:trPr>
        <w:tc>
          <w:tcPr>
            <w:tcW w:w="3964" w:type="dxa"/>
          </w:tcPr>
          <w:p w14:paraId="50EDD51B"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4F154500" w14:textId="1384E805" w:rsidR="00C7341F" w:rsidRPr="004C3D1A" w:rsidRDefault="00A32BC5" w:rsidP="004C3D1A">
            <w:pPr>
              <w:widowControl w:val="0"/>
              <w:spacing w:before="40" w:after="40"/>
              <w:jc w:val="right"/>
              <w:rPr>
                <w:rFonts w:ascii="Arial" w:hAnsi="Arial" w:cs="Arial"/>
                <w:sz w:val="18"/>
                <w:szCs w:val="16"/>
              </w:rPr>
            </w:pPr>
            <w:r>
              <w:rPr>
                <w:rFonts w:ascii="Arial" w:hAnsi="Arial"/>
                <w:sz w:val="18"/>
                <w:szCs w:val="16"/>
              </w:rPr>
              <w:t>+0.45</w:t>
            </w:r>
          </w:p>
        </w:tc>
      </w:tr>
      <w:tr w:rsidR="00C7341F" w:rsidRPr="006F49D0" w14:paraId="661023F9" w14:textId="77777777" w:rsidTr="00CF0163">
        <w:trPr>
          <w:trHeight w:val="283"/>
        </w:trPr>
        <w:tc>
          <w:tcPr>
            <w:tcW w:w="3964" w:type="dxa"/>
          </w:tcPr>
          <w:p w14:paraId="1C7E799E"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993" w:type="dxa"/>
            <w:vAlign w:val="center"/>
          </w:tcPr>
          <w:p w14:paraId="3B0C6875" w14:textId="101C114B" w:rsidR="00C7341F" w:rsidRPr="004C3D1A" w:rsidRDefault="00384022" w:rsidP="004C3D1A">
            <w:pPr>
              <w:widowControl w:val="0"/>
              <w:spacing w:before="40" w:after="40"/>
              <w:jc w:val="right"/>
              <w:rPr>
                <w:rFonts w:ascii="Arial" w:hAnsi="Arial" w:cs="Arial"/>
                <w:sz w:val="18"/>
                <w:szCs w:val="16"/>
              </w:rPr>
            </w:pPr>
            <w:r>
              <w:rPr>
                <w:rFonts w:ascii="Arial" w:hAnsi="Arial"/>
                <w:sz w:val="18"/>
                <w:szCs w:val="16"/>
              </w:rPr>
              <w:t>3.5</w:t>
            </w:r>
          </w:p>
        </w:tc>
      </w:tr>
      <w:tr w:rsidR="00C7341F" w14:paraId="63C42E15" w14:textId="77777777" w:rsidTr="00CF0163">
        <w:trPr>
          <w:trHeight w:val="283"/>
        </w:trPr>
        <w:tc>
          <w:tcPr>
            <w:tcW w:w="3964" w:type="dxa"/>
          </w:tcPr>
          <w:p w14:paraId="1440EEA3" w14:textId="77777777" w:rsidR="00C7341F" w:rsidRPr="004B1B8E" w:rsidRDefault="00C7341F" w:rsidP="00927886">
            <w:pPr>
              <w:widowControl w:val="0"/>
              <w:spacing w:before="40" w:after="40"/>
              <w:jc w:val="both"/>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993" w:type="dxa"/>
            <w:vAlign w:val="center"/>
          </w:tcPr>
          <w:p w14:paraId="1A0F9B44" w14:textId="059BB833" w:rsidR="00C7341F" w:rsidRPr="004C3D1A" w:rsidRDefault="004C3D1A" w:rsidP="00A32BC5">
            <w:pPr>
              <w:widowControl w:val="0"/>
              <w:spacing w:before="40" w:after="40"/>
              <w:jc w:val="right"/>
              <w:rPr>
                <w:rFonts w:ascii="Arial" w:hAnsi="Arial" w:cs="Arial"/>
                <w:sz w:val="18"/>
                <w:szCs w:val="16"/>
              </w:rPr>
            </w:pPr>
            <w:r>
              <w:rPr>
                <w:rFonts w:ascii="Arial" w:hAnsi="Arial"/>
                <w:sz w:val="18"/>
                <w:szCs w:val="16"/>
              </w:rPr>
              <w:t>+0.1</w:t>
            </w:r>
          </w:p>
        </w:tc>
      </w:tr>
      <w:tr w:rsidR="00C7341F" w:rsidRPr="006F49D0" w14:paraId="07A2DDCA" w14:textId="77777777" w:rsidTr="00CF0163">
        <w:trPr>
          <w:trHeight w:val="283"/>
        </w:trPr>
        <w:tc>
          <w:tcPr>
            <w:tcW w:w="3964" w:type="dxa"/>
            <w:tcBorders>
              <w:bottom w:val="single" w:sz="4" w:space="0" w:color="auto"/>
            </w:tcBorders>
          </w:tcPr>
          <w:p w14:paraId="7828C62D"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p>
        </w:tc>
        <w:tc>
          <w:tcPr>
            <w:tcW w:w="993" w:type="dxa"/>
            <w:tcBorders>
              <w:bottom w:val="single" w:sz="4" w:space="0" w:color="auto"/>
            </w:tcBorders>
            <w:vAlign w:val="center"/>
          </w:tcPr>
          <w:p w14:paraId="4F47916D" w14:textId="305F0C6A" w:rsidR="00C7341F" w:rsidRPr="009C12BC" w:rsidRDefault="00384022" w:rsidP="00927886">
            <w:pPr>
              <w:widowControl w:val="0"/>
              <w:spacing w:before="40" w:after="40"/>
              <w:jc w:val="right"/>
              <w:rPr>
                <w:rFonts w:ascii="Arial" w:hAnsi="Arial" w:cs="Arial"/>
                <w:sz w:val="18"/>
                <w:szCs w:val="16"/>
                <w:highlight w:val="yellow"/>
              </w:rPr>
            </w:pPr>
            <w:r>
              <w:rPr>
                <w:rFonts w:ascii="Arial" w:hAnsi="Arial"/>
                <w:sz w:val="18"/>
                <w:szCs w:val="16"/>
              </w:rPr>
              <w:t>Offices</w:t>
            </w:r>
          </w:p>
        </w:tc>
      </w:tr>
      <w:tr w:rsidR="00C7341F" w:rsidRPr="006F49D0" w14:paraId="6440AD70" w14:textId="77777777" w:rsidTr="00CF0163">
        <w:trPr>
          <w:trHeight w:val="283"/>
        </w:trPr>
        <w:tc>
          <w:tcPr>
            <w:tcW w:w="3964" w:type="dxa"/>
            <w:tcBorders>
              <w:bottom w:val="single" w:sz="4" w:space="0" w:color="auto"/>
            </w:tcBorders>
          </w:tcPr>
          <w:p w14:paraId="0E234409" w14:textId="77777777" w:rsidR="00C7341F" w:rsidRPr="004B1B8E" w:rsidRDefault="00C7341F" w:rsidP="00927886">
            <w:pPr>
              <w:widowControl w:val="0"/>
              <w:spacing w:before="40" w:after="40"/>
              <w:jc w:val="both"/>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993" w:type="dxa"/>
            <w:tcBorders>
              <w:bottom w:val="single" w:sz="4" w:space="0" w:color="auto"/>
            </w:tcBorders>
            <w:vAlign w:val="center"/>
          </w:tcPr>
          <w:p w14:paraId="79F5C2D7" w14:textId="660D173C" w:rsidR="00C7341F" w:rsidRPr="009C12BC" w:rsidRDefault="00EA7B88" w:rsidP="00927886">
            <w:pPr>
              <w:widowControl w:val="0"/>
              <w:spacing w:before="40" w:after="40"/>
              <w:jc w:val="right"/>
              <w:rPr>
                <w:rFonts w:ascii="Arial" w:hAnsi="Arial" w:cs="Arial"/>
                <w:sz w:val="18"/>
                <w:szCs w:val="16"/>
                <w:highlight w:val="yellow"/>
              </w:rPr>
            </w:pPr>
            <w:r>
              <w:rPr>
                <w:rFonts w:ascii="Arial" w:hAnsi="Arial"/>
                <w:sz w:val="18"/>
                <w:szCs w:val="16"/>
              </w:rPr>
              <w:t>73</w:t>
            </w:r>
          </w:p>
        </w:tc>
      </w:tr>
    </w:tbl>
    <w:p w14:paraId="06BD2443" w14:textId="45B13FFC" w:rsidR="00787C24" w:rsidRDefault="00787C24" w:rsidP="00BB4C96">
      <w:pPr>
        <w:rPr>
          <w:rFonts w:ascii="Arial" w:hAnsi="Arial" w:cs="Arial"/>
          <w:b/>
          <w:sz w:val="20"/>
          <w:szCs w:val="20"/>
        </w:rPr>
      </w:pPr>
    </w:p>
    <w:p w14:paraId="4582D23C" w14:textId="65A4AC47" w:rsidR="00C7341F" w:rsidRPr="00A0600B" w:rsidRDefault="00C7341F" w:rsidP="00BB4C96">
      <w:pPr>
        <w:rPr>
          <w:rFonts w:ascii="Arial" w:hAnsi="Arial" w:cs="Arial"/>
          <w:b/>
          <w:sz w:val="20"/>
          <w:szCs w:val="20"/>
        </w:rPr>
      </w:pPr>
      <w:r>
        <w:rPr>
          <w:rFonts w:ascii="Arial" w:hAnsi="Arial"/>
          <w:b/>
          <w:sz w:val="20"/>
          <w:szCs w:val="20"/>
        </w:rPr>
        <w:t xml:space="preserve">Selected top transactions | investments in Berlin | </w:t>
      </w:r>
      <w:r w:rsidR="005A3406">
        <w:rPr>
          <w:rFonts w:ascii="Arial" w:hAnsi="Arial"/>
          <w:b/>
          <w:sz w:val="20"/>
          <w:szCs w:val="20"/>
        </w:rPr>
        <w:t>Q1-4</w:t>
      </w:r>
      <w:r>
        <w:rPr>
          <w:rFonts w:ascii="Arial" w:hAnsi="Arial"/>
          <w:b/>
          <w:sz w:val="20"/>
          <w:szCs w:val="20"/>
        </w:rPr>
        <w:t xml:space="preserve"> 2022</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547"/>
        <w:gridCol w:w="1417"/>
        <w:gridCol w:w="1276"/>
        <w:gridCol w:w="1559"/>
        <w:gridCol w:w="1843"/>
        <w:gridCol w:w="1134"/>
      </w:tblGrid>
      <w:tr w:rsidR="00C7341F" w:rsidRPr="006F49D0" w14:paraId="4F21D6DF" w14:textId="77777777" w:rsidTr="00C975AA">
        <w:trPr>
          <w:trHeight w:val="567"/>
        </w:trPr>
        <w:tc>
          <w:tcPr>
            <w:tcW w:w="2547" w:type="dxa"/>
            <w:shd w:val="clear" w:color="auto" w:fill="000000" w:themeFill="text1"/>
            <w:vAlign w:val="center"/>
          </w:tcPr>
          <w:p w14:paraId="46C82216" w14:textId="77777777" w:rsidR="00C7341F" w:rsidRPr="00C7341F" w:rsidRDefault="00C7341F" w:rsidP="00BB4C96">
            <w:pPr>
              <w:spacing w:after="0"/>
              <w:jc w:val="center"/>
              <w:rPr>
                <w:rFonts w:ascii="Arial" w:hAnsi="Arial" w:cs="Arial"/>
                <w:b/>
                <w:color w:val="FFFFFF" w:themeColor="background1"/>
                <w:sz w:val="18"/>
                <w:szCs w:val="16"/>
              </w:rPr>
            </w:pPr>
            <w:r>
              <w:rPr>
                <w:rFonts w:ascii="Arial" w:hAnsi="Arial"/>
                <w:b/>
                <w:color w:val="FFFFFF" w:themeColor="background1"/>
                <w:sz w:val="18"/>
                <w:szCs w:val="16"/>
              </w:rPr>
              <w:t>Project/property</w:t>
            </w:r>
          </w:p>
          <w:p w14:paraId="06D07B1D" w14:textId="77777777" w:rsidR="00C7341F" w:rsidRPr="00C7341F" w:rsidRDefault="00C7341F" w:rsidP="00BB4C96">
            <w:pPr>
              <w:spacing w:after="0"/>
              <w:jc w:val="center"/>
              <w:rPr>
                <w:rFonts w:ascii="Arial" w:hAnsi="Arial" w:cs="Arial"/>
                <w:b/>
                <w:color w:val="FFFFFF" w:themeColor="background1"/>
                <w:sz w:val="18"/>
                <w:szCs w:val="16"/>
              </w:rPr>
            </w:pPr>
            <w:r>
              <w:rPr>
                <w:rFonts w:ascii="Arial" w:hAnsi="Arial"/>
                <w:b/>
                <w:color w:val="FFFFFF" w:themeColor="background1"/>
                <w:sz w:val="18"/>
                <w:szCs w:val="16"/>
              </w:rPr>
              <w:t>Street no.</w:t>
            </w:r>
          </w:p>
        </w:tc>
        <w:tc>
          <w:tcPr>
            <w:tcW w:w="1417" w:type="dxa"/>
            <w:shd w:val="clear" w:color="auto" w:fill="000000" w:themeFill="text1"/>
          </w:tcPr>
          <w:p w14:paraId="070FC834" w14:textId="62260587" w:rsidR="00C7341F" w:rsidRPr="00C7341F" w:rsidRDefault="0012484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Sub-market</w:t>
            </w:r>
          </w:p>
        </w:tc>
        <w:tc>
          <w:tcPr>
            <w:tcW w:w="1276" w:type="dxa"/>
            <w:shd w:val="clear" w:color="auto" w:fill="000000" w:themeFill="text1"/>
          </w:tcPr>
          <w:p w14:paraId="03801D01" w14:textId="1EDECB39" w:rsidR="00C7341F" w:rsidRPr="00C7341F" w:rsidRDefault="0012484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br/>
              <w:t>Asset class</w:t>
            </w:r>
          </w:p>
        </w:tc>
        <w:tc>
          <w:tcPr>
            <w:tcW w:w="1559" w:type="dxa"/>
            <w:shd w:val="clear" w:color="auto" w:fill="000000" w:themeFill="text1"/>
            <w:vAlign w:val="center"/>
          </w:tcPr>
          <w:p w14:paraId="64E565FC" w14:textId="77777777" w:rsidR="00C7341F" w:rsidRPr="00C7341F" w:rsidRDefault="00C7341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Buyer/investor</w:t>
            </w:r>
          </w:p>
        </w:tc>
        <w:tc>
          <w:tcPr>
            <w:tcW w:w="1843" w:type="dxa"/>
            <w:shd w:val="clear" w:color="auto" w:fill="000000" w:themeFill="text1"/>
            <w:vAlign w:val="center"/>
          </w:tcPr>
          <w:p w14:paraId="4F865E58" w14:textId="77777777" w:rsidR="00C7341F" w:rsidRPr="00C7341F" w:rsidRDefault="00C7341F" w:rsidP="00BB4C96">
            <w:pPr>
              <w:widowControl w:val="0"/>
              <w:spacing w:before="60" w:afterLines="60" w:after="144"/>
              <w:jc w:val="center"/>
              <w:rPr>
                <w:rFonts w:ascii="Arial" w:hAnsi="Arial" w:cs="Arial"/>
                <w:b/>
                <w:color w:val="FFFFFF" w:themeColor="background1"/>
                <w:sz w:val="18"/>
                <w:szCs w:val="16"/>
              </w:rPr>
            </w:pPr>
            <w:r>
              <w:rPr>
                <w:rFonts w:ascii="Arial" w:hAnsi="Arial"/>
                <w:b/>
                <w:color w:val="FFFFFF" w:themeColor="background1"/>
                <w:sz w:val="18"/>
                <w:szCs w:val="16"/>
              </w:rPr>
              <w:t>Vendor</w:t>
            </w:r>
          </w:p>
        </w:tc>
        <w:tc>
          <w:tcPr>
            <w:tcW w:w="1134" w:type="dxa"/>
            <w:shd w:val="clear" w:color="auto" w:fill="000000" w:themeFill="text1"/>
            <w:vAlign w:val="center"/>
          </w:tcPr>
          <w:p w14:paraId="70DE4216" w14:textId="39935B56" w:rsidR="00C7341F" w:rsidRPr="00C7341F" w:rsidRDefault="00C7341F" w:rsidP="00BB4C96">
            <w:pPr>
              <w:widowControl w:val="0"/>
              <w:spacing w:before="60" w:after="0"/>
              <w:jc w:val="center"/>
              <w:rPr>
                <w:rFonts w:ascii="Arial" w:hAnsi="Arial" w:cs="Arial"/>
                <w:b/>
                <w:color w:val="FFFFFF" w:themeColor="background1"/>
                <w:sz w:val="18"/>
                <w:szCs w:val="16"/>
              </w:rPr>
            </w:pPr>
            <w:r>
              <w:rPr>
                <w:rFonts w:ascii="Arial" w:hAnsi="Arial"/>
                <w:b/>
                <w:color w:val="FFFFFF" w:themeColor="background1"/>
                <w:sz w:val="18"/>
                <w:szCs w:val="16"/>
              </w:rPr>
              <w:t>Purchase price*</w:t>
            </w:r>
          </w:p>
          <w:p w14:paraId="199A4A51" w14:textId="77777777" w:rsidR="00C7341F" w:rsidRPr="00C7341F" w:rsidRDefault="00C7341F" w:rsidP="00BB4C96">
            <w:pPr>
              <w:widowControl w:val="0"/>
              <w:spacing w:before="60" w:after="0"/>
              <w:jc w:val="center"/>
              <w:rPr>
                <w:rFonts w:ascii="Arial" w:hAnsi="Arial" w:cs="Arial"/>
                <w:b/>
                <w:color w:val="FFFFFF" w:themeColor="background1"/>
                <w:sz w:val="18"/>
                <w:szCs w:val="16"/>
              </w:rPr>
            </w:pPr>
            <w:r>
              <w:rPr>
                <w:rFonts w:ascii="Arial" w:hAnsi="Arial"/>
                <w:color w:val="FFFFFF" w:themeColor="background1"/>
                <w:sz w:val="18"/>
                <w:szCs w:val="16"/>
              </w:rPr>
              <w:t>[approx. €m]</w:t>
            </w:r>
          </w:p>
        </w:tc>
      </w:tr>
      <w:tr w:rsidR="00A32BC5" w:rsidRPr="00F2414C" w14:paraId="2F3AD57F" w14:textId="77777777" w:rsidTr="00BB4C96">
        <w:trPr>
          <w:trHeight w:val="567"/>
        </w:trPr>
        <w:tc>
          <w:tcPr>
            <w:tcW w:w="2547" w:type="dxa"/>
            <w:shd w:val="clear" w:color="auto" w:fill="auto"/>
            <w:vAlign w:val="center"/>
          </w:tcPr>
          <w:p w14:paraId="294DDE95" w14:textId="39719812" w:rsidR="00A32BC5" w:rsidRPr="00EA7B88" w:rsidRDefault="008B04D6" w:rsidP="00DA47B7">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“Sony </w:t>
            </w:r>
            <w:proofErr w:type="spellStart"/>
            <w:r>
              <w:rPr>
                <w:rFonts w:ascii="Arial" w:hAnsi="Arial"/>
                <w:color w:val="000000" w:themeColor="text1"/>
                <w:sz w:val="18"/>
                <w:szCs w:val="18"/>
              </w:rPr>
              <w:t>Center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Bahn</w:t>
            </w:r>
            <w:proofErr w:type="spellEnd"/>
            <w:r>
              <w:rPr>
                <w:rFonts w:ascii="Arial" w:hAnsi="Arial"/>
                <w:color w:val="000000" w:themeColor="text1"/>
                <w:sz w:val="18"/>
                <w:szCs w:val="18"/>
              </w:rPr>
              <w:t xml:space="preserve">-Tower, </w:t>
            </w:r>
            <w:r>
              <w:t xml:space="preserve"> </w:t>
            </w:r>
            <w:r>
              <w:rPr>
                <w:rFonts w:ascii="Arial" w:hAnsi="Arial"/>
                <w:color w:val="000000" w:themeColor="text1"/>
                <w:sz w:val="18"/>
                <w:szCs w:val="18"/>
              </w:rPr>
              <w:t>Sony European Head Office, Sanofi-</w:t>
            </w:r>
            <w:proofErr w:type="spellStart"/>
            <w:r>
              <w:rPr>
                <w:rFonts w:ascii="Arial" w:hAnsi="Arial"/>
                <w:color w:val="000000" w:themeColor="text1"/>
                <w:sz w:val="18"/>
                <w:szCs w:val="18"/>
              </w:rPr>
              <w:t>Haus</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Bürogebäude</w:t>
            </w:r>
            <w:proofErr w:type="spellEnd"/>
            <w:r>
              <w:rPr>
                <w:rFonts w:ascii="Arial" w:hAnsi="Arial"/>
                <w:color w:val="000000" w:themeColor="text1"/>
                <w:sz w:val="18"/>
                <w:szCs w:val="18"/>
              </w:rPr>
              <w:t xml:space="preserve"> am Forum, </w:t>
            </w:r>
            <w:proofErr w:type="spellStart"/>
            <w:r>
              <w:rPr>
                <w:rFonts w:ascii="Arial" w:hAnsi="Arial"/>
                <w:color w:val="000000" w:themeColor="text1"/>
                <w:sz w:val="18"/>
                <w:szCs w:val="18"/>
              </w:rPr>
              <w:t>Passarelle</w:t>
            </w:r>
            <w:proofErr w:type="spellEnd"/>
          </w:p>
        </w:tc>
        <w:tc>
          <w:tcPr>
            <w:tcW w:w="1417" w:type="dxa"/>
            <w:shd w:val="clear" w:color="auto" w:fill="auto"/>
            <w:vAlign w:val="center"/>
          </w:tcPr>
          <w:p w14:paraId="2B60B805" w14:textId="1E1CF6DF" w:rsidR="00A32BC5" w:rsidRPr="00EA7B88" w:rsidRDefault="00BB7641" w:rsidP="00BB4C9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Potsdamer</w:t>
            </w:r>
            <w:proofErr w:type="spellEnd"/>
            <w:r>
              <w:rPr>
                <w:rFonts w:ascii="Arial" w:hAnsi="Arial"/>
                <w:color w:val="000000" w:themeColor="text1"/>
                <w:sz w:val="18"/>
                <w:szCs w:val="18"/>
              </w:rPr>
              <w:t>-/</w:t>
            </w:r>
            <w:proofErr w:type="spellStart"/>
            <w:r>
              <w:rPr>
                <w:rFonts w:ascii="Arial" w:hAnsi="Arial"/>
                <w:color w:val="000000" w:themeColor="text1"/>
                <w:sz w:val="18"/>
                <w:szCs w:val="18"/>
              </w:rPr>
              <w:t>Leipziger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Platz</w:t>
            </w:r>
            <w:proofErr w:type="spellEnd"/>
          </w:p>
        </w:tc>
        <w:tc>
          <w:tcPr>
            <w:tcW w:w="1276" w:type="dxa"/>
            <w:shd w:val="clear" w:color="auto" w:fill="auto"/>
            <w:vAlign w:val="center"/>
          </w:tcPr>
          <w:p w14:paraId="38807301" w14:textId="378A4407" w:rsidR="00A32BC5" w:rsidRPr="00EA7B88" w:rsidRDefault="001E76C4" w:rsidP="00BB4C9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auto"/>
            <w:vAlign w:val="center"/>
          </w:tcPr>
          <w:p w14:paraId="32C8C960" w14:textId="1B164AA9" w:rsidR="00A32BC5" w:rsidRPr="00EA7B88" w:rsidRDefault="00EA7B88" w:rsidP="00BB4C96">
            <w:pPr>
              <w:widowControl w:val="0"/>
              <w:spacing w:after="0"/>
              <w:rPr>
                <w:rFonts w:ascii="Arial" w:hAnsi="Arial" w:cs="Arial"/>
                <w:sz w:val="18"/>
                <w:szCs w:val="18"/>
              </w:rPr>
            </w:pPr>
            <w:r>
              <w:rPr>
                <w:rFonts w:ascii="Arial" w:hAnsi="Arial"/>
                <w:sz w:val="18"/>
                <w:szCs w:val="18"/>
              </w:rPr>
              <w:t>Norwegian Government Pension Fund Global</w:t>
            </w:r>
          </w:p>
        </w:tc>
        <w:tc>
          <w:tcPr>
            <w:tcW w:w="1843" w:type="dxa"/>
            <w:shd w:val="clear" w:color="auto" w:fill="auto"/>
            <w:vAlign w:val="center"/>
          </w:tcPr>
          <w:p w14:paraId="5BE243D0" w14:textId="27D5C93F" w:rsidR="00A32BC5" w:rsidRPr="00EA7B88" w:rsidRDefault="001E76C4" w:rsidP="00BB4C96">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Oxford Properties/Madison International Realty </w:t>
            </w:r>
          </w:p>
        </w:tc>
        <w:tc>
          <w:tcPr>
            <w:tcW w:w="1134" w:type="dxa"/>
            <w:shd w:val="clear" w:color="auto" w:fill="auto"/>
            <w:vAlign w:val="center"/>
          </w:tcPr>
          <w:p w14:paraId="12505789" w14:textId="2D641C3B" w:rsidR="00A32BC5" w:rsidRPr="00EA7B88" w:rsidRDefault="001E76C4" w:rsidP="00BB4C96">
            <w:pPr>
              <w:widowControl w:val="0"/>
              <w:spacing w:after="0"/>
              <w:jc w:val="right"/>
              <w:rPr>
                <w:rFonts w:ascii="Arial" w:hAnsi="Arial" w:cs="Arial"/>
                <w:color w:val="000000" w:themeColor="text1"/>
                <w:sz w:val="18"/>
                <w:szCs w:val="18"/>
              </w:rPr>
            </w:pPr>
            <w:r>
              <w:rPr>
                <w:rFonts w:ascii="Arial" w:hAnsi="Arial"/>
                <w:color w:val="000000" w:themeColor="text1"/>
                <w:sz w:val="18"/>
                <w:szCs w:val="18"/>
              </w:rPr>
              <w:t>677</w:t>
            </w:r>
          </w:p>
        </w:tc>
      </w:tr>
      <w:tr w:rsidR="00AF41DF" w:rsidRPr="00F2414C" w14:paraId="3229A735" w14:textId="77777777" w:rsidTr="00A5271F">
        <w:trPr>
          <w:trHeight w:val="567"/>
        </w:trPr>
        <w:tc>
          <w:tcPr>
            <w:tcW w:w="2547" w:type="dxa"/>
            <w:shd w:val="clear" w:color="auto" w:fill="auto"/>
            <w:vAlign w:val="center"/>
          </w:tcPr>
          <w:p w14:paraId="06EFB4A4" w14:textId="466A5688" w:rsidR="00AF41DF" w:rsidRPr="00EA7B88" w:rsidRDefault="00AF41DF" w:rsidP="00153029">
            <w:pPr>
              <w:widowControl w:val="0"/>
              <w:spacing w:after="0"/>
              <w:rPr>
                <w:rFonts w:ascii="Arial" w:hAnsi="Arial" w:cs="Arial"/>
                <w:color w:val="000000" w:themeColor="text1"/>
                <w:sz w:val="18"/>
                <w:szCs w:val="18"/>
              </w:rPr>
            </w:pPr>
            <w:r>
              <w:rPr>
                <w:rFonts w:ascii="Arial" w:hAnsi="Arial"/>
                <w:color w:val="000000" w:themeColor="text1"/>
                <w:sz w:val="18"/>
                <w:szCs w:val="18"/>
              </w:rPr>
              <w:t>“</w:t>
            </w:r>
            <w:proofErr w:type="spellStart"/>
            <w:r>
              <w:rPr>
                <w:rFonts w:ascii="Arial" w:hAnsi="Arial"/>
                <w:color w:val="000000" w:themeColor="text1"/>
                <w:sz w:val="18"/>
                <w:szCs w:val="18"/>
              </w:rPr>
              <w:t>Voltair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Voltairestrasse</w:t>
            </w:r>
            <w:proofErr w:type="spellEnd"/>
            <w:r>
              <w:rPr>
                <w:rFonts w:ascii="Arial" w:hAnsi="Arial"/>
                <w:color w:val="000000" w:themeColor="text1"/>
                <w:sz w:val="18"/>
                <w:szCs w:val="18"/>
              </w:rPr>
              <w:t xml:space="preserve"> 2a</w:t>
            </w:r>
          </w:p>
        </w:tc>
        <w:tc>
          <w:tcPr>
            <w:tcW w:w="1417" w:type="dxa"/>
            <w:shd w:val="clear" w:color="auto" w:fill="auto"/>
            <w:vAlign w:val="center"/>
          </w:tcPr>
          <w:p w14:paraId="34F1B3AC" w14:textId="240124B6" w:rsidR="00AF41DF" w:rsidRPr="00EA7B88" w:rsidRDefault="00AF41DF" w:rsidP="00BB4C96">
            <w:pPr>
              <w:widowControl w:val="0"/>
              <w:spacing w:after="0"/>
              <w:rPr>
                <w:rFonts w:ascii="Arial" w:hAnsi="Arial" w:cs="Arial"/>
                <w:color w:val="000000" w:themeColor="text1"/>
                <w:sz w:val="18"/>
                <w:szCs w:val="18"/>
              </w:rPr>
            </w:pPr>
            <w:r>
              <w:rPr>
                <w:rFonts w:ascii="Arial" w:hAnsi="Arial"/>
                <w:color w:val="000000" w:themeColor="text1"/>
                <w:sz w:val="18"/>
                <w:szCs w:val="18"/>
              </w:rPr>
              <w:t>Berlin-</w:t>
            </w:r>
            <w:proofErr w:type="spellStart"/>
            <w:r>
              <w:rPr>
                <w:rFonts w:ascii="Arial" w:hAnsi="Arial"/>
                <w:color w:val="000000" w:themeColor="text1"/>
                <w:sz w:val="18"/>
                <w:szCs w:val="18"/>
              </w:rPr>
              <w:t>Mitte</w:t>
            </w:r>
            <w:proofErr w:type="spellEnd"/>
          </w:p>
        </w:tc>
        <w:tc>
          <w:tcPr>
            <w:tcW w:w="1276" w:type="dxa"/>
            <w:shd w:val="clear" w:color="auto" w:fill="auto"/>
            <w:vAlign w:val="center"/>
          </w:tcPr>
          <w:p w14:paraId="37869AE3" w14:textId="3794F5F3" w:rsidR="00AF41DF" w:rsidRPr="00EA7B88" w:rsidRDefault="00AF41DF" w:rsidP="00BB4C96">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auto"/>
            <w:vAlign w:val="center"/>
          </w:tcPr>
          <w:p w14:paraId="41F0C24B" w14:textId="6860515C" w:rsidR="00AF41DF" w:rsidRPr="00EA7B88" w:rsidRDefault="00EA7B88" w:rsidP="00BB4C96">
            <w:pPr>
              <w:widowControl w:val="0"/>
              <w:spacing w:after="0"/>
              <w:rPr>
                <w:rFonts w:ascii="Arial" w:hAnsi="Arial" w:cs="Arial"/>
                <w:sz w:val="18"/>
                <w:szCs w:val="18"/>
              </w:rPr>
            </w:pPr>
            <w:r>
              <w:rPr>
                <w:rFonts w:ascii="Arial" w:hAnsi="Arial"/>
                <w:sz w:val="18"/>
                <w:szCs w:val="18"/>
              </w:rPr>
              <w:t>Norwegian Government Pension Fund Global / Swiss Life</w:t>
            </w:r>
          </w:p>
        </w:tc>
        <w:tc>
          <w:tcPr>
            <w:tcW w:w="1843" w:type="dxa"/>
            <w:shd w:val="clear" w:color="auto" w:fill="auto"/>
            <w:vAlign w:val="center"/>
          </w:tcPr>
          <w:p w14:paraId="4C5A8A31" w14:textId="38BE6F84" w:rsidR="00AF41DF" w:rsidRPr="00EA7B88" w:rsidRDefault="00EA7B88" w:rsidP="00BB4C96">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Gädeke</w:t>
            </w:r>
            <w:proofErr w:type="spellEnd"/>
            <w:r>
              <w:rPr>
                <w:rFonts w:ascii="Arial" w:hAnsi="Arial"/>
                <w:color w:val="000000" w:themeColor="text1"/>
                <w:sz w:val="18"/>
                <w:szCs w:val="18"/>
              </w:rPr>
              <w:t xml:space="preserve"> &amp; Sons / ABG</w:t>
            </w:r>
          </w:p>
        </w:tc>
        <w:tc>
          <w:tcPr>
            <w:tcW w:w="1134" w:type="dxa"/>
            <w:shd w:val="clear" w:color="auto" w:fill="auto"/>
            <w:vAlign w:val="center"/>
          </w:tcPr>
          <w:p w14:paraId="48745690" w14:textId="0F9C62A5" w:rsidR="00AF41DF" w:rsidRPr="00EA7B88" w:rsidRDefault="00AF41DF" w:rsidP="00BB4C96">
            <w:pPr>
              <w:widowControl w:val="0"/>
              <w:spacing w:after="0"/>
              <w:jc w:val="right"/>
              <w:rPr>
                <w:rFonts w:ascii="Arial" w:hAnsi="Arial" w:cs="Arial"/>
                <w:color w:val="000000" w:themeColor="text1"/>
                <w:sz w:val="18"/>
                <w:szCs w:val="18"/>
              </w:rPr>
            </w:pPr>
            <w:r>
              <w:rPr>
                <w:rFonts w:ascii="Arial" w:hAnsi="Arial"/>
                <w:color w:val="000000" w:themeColor="text1"/>
                <w:sz w:val="18"/>
                <w:szCs w:val="18"/>
              </w:rPr>
              <w:t>457</w:t>
            </w:r>
          </w:p>
        </w:tc>
      </w:tr>
      <w:tr w:rsidR="00A74C65" w:rsidRPr="00F2414C" w14:paraId="19FC96DC" w14:textId="77777777" w:rsidTr="00A5271F">
        <w:trPr>
          <w:trHeight w:val="567"/>
        </w:trPr>
        <w:tc>
          <w:tcPr>
            <w:tcW w:w="2547" w:type="dxa"/>
            <w:shd w:val="clear" w:color="auto" w:fill="auto"/>
            <w:vAlign w:val="center"/>
          </w:tcPr>
          <w:p w14:paraId="4E015A8A" w14:textId="5A699C24" w:rsidR="00A74C65" w:rsidRPr="002E7124" w:rsidRDefault="00A74C65" w:rsidP="009E17F7">
            <w:pPr>
              <w:widowControl w:val="0"/>
              <w:spacing w:after="0"/>
              <w:rPr>
                <w:rFonts w:ascii="Arial" w:hAnsi="Arial" w:cs="Arial"/>
                <w:color w:val="000000" w:themeColor="text1"/>
                <w:sz w:val="18"/>
                <w:szCs w:val="18"/>
                <w:highlight w:val="yellow"/>
              </w:rPr>
            </w:pPr>
            <w:r>
              <w:rPr>
                <w:rFonts w:ascii="Arial" w:hAnsi="Arial"/>
                <w:color w:val="000000" w:themeColor="text1"/>
                <w:sz w:val="18"/>
                <w:szCs w:val="18"/>
              </w:rPr>
              <w:t xml:space="preserve">“QH Core” / “QH Spring”, </w:t>
            </w:r>
            <w:proofErr w:type="spellStart"/>
            <w:r>
              <w:rPr>
                <w:rFonts w:ascii="Arial" w:hAnsi="Arial"/>
                <w:color w:val="000000" w:themeColor="text1"/>
                <w:sz w:val="18"/>
                <w:szCs w:val="18"/>
              </w:rPr>
              <w:t>Heidestrasse</w:t>
            </w:r>
            <w:proofErr w:type="spellEnd"/>
            <w:r>
              <w:rPr>
                <w:rFonts w:ascii="Arial" w:hAnsi="Arial"/>
                <w:color w:val="000000" w:themeColor="text1"/>
                <w:sz w:val="18"/>
                <w:szCs w:val="18"/>
              </w:rPr>
              <w:t xml:space="preserve"> 6</w:t>
            </w:r>
          </w:p>
        </w:tc>
        <w:tc>
          <w:tcPr>
            <w:tcW w:w="1417" w:type="dxa"/>
            <w:shd w:val="clear" w:color="auto" w:fill="auto"/>
            <w:vAlign w:val="center"/>
          </w:tcPr>
          <w:p w14:paraId="24FB35B4" w14:textId="72EBC167" w:rsidR="00A74C65" w:rsidRPr="002E7124" w:rsidRDefault="00153029" w:rsidP="00BB4C96">
            <w:pPr>
              <w:widowControl w:val="0"/>
              <w:spacing w:after="0"/>
              <w:rPr>
                <w:rFonts w:ascii="Arial" w:hAnsi="Arial" w:cs="Arial"/>
                <w:color w:val="000000" w:themeColor="text1"/>
                <w:sz w:val="18"/>
                <w:szCs w:val="18"/>
                <w:highlight w:val="yellow"/>
              </w:rPr>
            </w:pPr>
            <w:proofErr w:type="spellStart"/>
            <w:r>
              <w:rPr>
                <w:rFonts w:ascii="Arial" w:hAnsi="Arial"/>
                <w:color w:val="000000" w:themeColor="text1"/>
                <w:sz w:val="18"/>
                <w:szCs w:val="18"/>
              </w:rPr>
              <w:t>Tiergarten</w:t>
            </w:r>
            <w:proofErr w:type="spellEnd"/>
          </w:p>
        </w:tc>
        <w:tc>
          <w:tcPr>
            <w:tcW w:w="1276" w:type="dxa"/>
            <w:shd w:val="clear" w:color="auto" w:fill="auto"/>
            <w:vAlign w:val="center"/>
          </w:tcPr>
          <w:p w14:paraId="5447FE80" w14:textId="324F0C58" w:rsidR="00A74C65" w:rsidRPr="002E7124" w:rsidRDefault="00A74C65" w:rsidP="00BB4C96">
            <w:pPr>
              <w:widowControl w:val="0"/>
              <w:spacing w:after="0"/>
              <w:rPr>
                <w:rFonts w:ascii="Arial" w:hAnsi="Arial" w:cs="Arial"/>
                <w:color w:val="000000" w:themeColor="text1"/>
                <w:sz w:val="18"/>
                <w:szCs w:val="18"/>
                <w:highlight w:val="yellow"/>
              </w:rPr>
            </w:pPr>
            <w:r>
              <w:rPr>
                <w:rFonts w:ascii="Arial" w:hAnsi="Arial"/>
                <w:color w:val="000000" w:themeColor="text1"/>
                <w:sz w:val="18"/>
                <w:szCs w:val="18"/>
              </w:rPr>
              <w:t>Offices</w:t>
            </w:r>
          </w:p>
        </w:tc>
        <w:tc>
          <w:tcPr>
            <w:tcW w:w="1559" w:type="dxa"/>
            <w:shd w:val="clear" w:color="auto" w:fill="auto"/>
            <w:vAlign w:val="center"/>
          </w:tcPr>
          <w:p w14:paraId="68FB529C" w14:textId="5DBDA7E4" w:rsidR="00A74C65" w:rsidRPr="002E7124" w:rsidRDefault="00153029" w:rsidP="00BB4C96">
            <w:pPr>
              <w:widowControl w:val="0"/>
              <w:spacing w:after="0"/>
              <w:rPr>
                <w:rFonts w:ascii="Arial" w:hAnsi="Arial" w:cs="Arial"/>
                <w:sz w:val="18"/>
                <w:szCs w:val="18"/>
                <w:highlight w:val="yellow"/>
              </w:rPr>
            </w:pPr>
            <w:proofErr w:type="spellStart"/>
            <w:r>
              <w:rPr>
                <w:rFonts w:ascii="Arial" w:hAnsi="Arial"/>
                <w:sz w:val="18"/>
                <w:szCs w:val="18"/>
              </w:rPr>
              <w:t>Vivion</w:t>
            </w:r>
            <w:proofErr w:type="spellEnd"/>
            <w:r>
              <w:rPr>
                <w:rFonts w:ascii="Arial" w:hAnsi="Arial"/>
                <w:sz w:val="18"/>
                <w:szCs w:val="18"/>
              </w:rPr>
              <w:t xml:space="preserve"> Group</w:t>
            </w:r>
          </w:p>
        </w:tc>
        <w:tc>
          <w:tcPr>
            <w:tcW w:w="1843" w:type="dxa"/>
            <w:shd w:val="clear" w:color="auto" w:fill="auto"/>
            <w:vAlign w:val="center"/>
          </w:tcPr>
          <w:p w14:paraId="0C9D09E9" w14:textId="3F08804B" w:rsidR="00A74C65" w:rsidRPr="002E7124" w:rsidRDefault="00A74C65" w:rsidP="00BB4C96">
            <w:pPr>
              <w:widowControl w:val="0"/>
              <w:spacing w:after="0"/>
              <w:rPr>
                <w:rFonts w:ascii="Arial" w:hAnsi="Arial" w:cs="Arial"/>
                <w:color w:val="000000" w:themeColor="text1"/>
                <w:sz w:val="18"/>
                <w:szCs w:val="18"/>
                <w:highlight w:val="yellow"/>
              </w:rPr>
            </w:pPr>
            <w:r>
              <w:rPr>
                <w:rFonts w:ascii="Arial" w:hAnsi="Arial"/>
                <w:color w:val="000000" w:themeColor="text1"/>
                <w:sz w:val="18"/>
                <w:szCs w:val="18"/>
              </w:rPr>
              <w:t>Aggregate Holdings</w:t>
            </w:r>
          </w:p>
        </w:tc>
        <w:tc>
          <w:tcPr>
            <w:tcW w:w="1134" w:type="dxa"/>
            <w:shd w:val="clear" w:color="auto" w:fill="auto"/>
            <w:vAlign w:val="center"/>
          </w:tcPr>
          <w:p w14:paraId="7F91DDF2" w14:textId="0585AC35" w:rsidR="00A74C65" w:rsidRPr="002E7124" w:rsidRDefault="00694C32" w:rsidP="00BB4C96">
            <w:pPr>
              <w:widowControl w:val="0"/>
              <w:spacing w:after="0"/>
              <w:jc w:val="right"/>
              <w:rPr>
                <w:rFonts w:ascii="Arial" w:hAnsi="Arial" w:cs="Arial"/>
                <w:color w:val="000000" w:themeColor="text1"/>
                <w:sz w:val="18"/>
                <w:szCs w:val="18"/>
                <w:highlight w:val="yellow"/>
              </w:rPr>
            </w:pPr>
            <w:r>
              <w:rPr>
                <w:rFonts w:ascii="Arial" w:hAnsi="Arial"/>
                <w:color w:val="000000" w:themeColor="text1"/>
                <w:sz w:val="18"/>
                <w:szCs w:val="18"/>
              </w:rPr>
              <w:t>456</w:t>
            </w:r>
          </w:p>
        </w:tc>
      </w:tr>
      <w:tr w:rsidR="00153029" w:rsidRPr="00F2414C" w14:paraId="5F4ABAAD" w14:textId="77777777" w:rsidTr="00153029">
        <w:trPr>
          <w:trHeight w:val="567"/>
        </w:trPr>
        <w:tc>
          <w:tcPr>
            <w:tcW w:w="2547" w:type="dxa"/>
            <w:shd w:val="clear" w:color="auto" w:fill="D9D9D9" w:themeFill="background1" w:themeFillShade="D9"/>
            <w:vAlign w:val="center"/>
          </w:tcPr>
          <w:p w14:paraId="2ADC21C8" w14:textId="0338BB10" w:rsidR="00153029" w:rsidRPr="00153029" w:rsidRDefault="00153029" w:rsidP="00153029">
            <w:pPr>
              <w:widowControl w:val="0"/>
              <w:spacing w:after="0"/>
              <w:rPr>
                <w:rFonts w:ascii="Arial" w:hAnsi="Arial" w:cs="Arial"/>
                <w:color w:val="000000" w:themeColor="text1"/>
                <w:sz w:val="18"/>
                <w:szCs w:val="18"/>
              </w:rPr>
            </w:pPr>
            <w:r>
              <w:rPr>
                <w:rFonts w:ascii="Arial" w:hAnsi="Arial"/>
                <w:color w:val="000000" w:themeColor="text1"/>
                <w:sz w:val="18"/>
                <w:szCs w:val="18"/>
              </w:rPr>
              <w:t xml:space="preserve">“Urban Tech Republic”, </w:t>
            </w:r>
            <w:r>
              <w:t xml:space="preserve"> </w:t>
            </w:r>
            <w:proofErr w:type="spellStart"/>
            <w:r>
              <w:rPr>
                <w:rFonts w:ascii="Arial" w:hAnsi="Arial"/>
                <w:color w:val="000000" w:themeColor="text1"/>
                <w:sz w:val="18"/>
                <w:szCs w:val="18"/>
              </w:rPr>
              <w:t>Saatwinkler</w:t>
            </w:r>
            <w:proofErr w:type="spellEnd"/>
            <w:r>
              <w:rPr>
                <w:rFonts w:ascii="Arial" w:hAnsi="Arial"/>
                <w:color w:val="000000" w:themeColor="text1"/>
                <w:sz w:val="18"/>
                <w:szCs w:val="18"/>
              </w:rPr>
              <w:t xml:space="preserve"> </w:t>
            </w:r>
            <w:proofErr w:type="spellStart"/>
            <w:r>
              <w:rPr>
                <w:rFonts w:ascii="Arial" w:hAnsi="Arial"/>
                <w:color w:val="000000" w:themeColor="text1"/>
                <w:sz w:val="18"/>
                <w:szCs w:val="18"/>
              </w:rPr>
              <w:t>Damm</w:t>
            </w:r>
            <w:proofErr w:type="spellEnd"/>
            <w:r>
              <w:rPr>
                <w:rFonts w:ascii="Arial" w:hAnsi="Arial"/>
                <w:color w:val="000000" w:themeColor="text1"/>
                <w:sz w:val="18"/>
                <w:szCs w:val="18"/>
              </w:rPr>
              <w:t xml:space="preserve"> 74</w:t>
            </w:r>
          </w:p>
        </w:tc>
        <w:tc>
          <w:tcPr>
            <w:tcW w:w="1417" w:type="dxa"/>
            <w:shd w:val="clear" w:color="auto" w:fill="D9D9D9" w:themeFill="background1" w:themeFillShade="D9"/>
            <w:vAlign w:val="center"/>
          </w:tcPr>
          <w:p w14:paraId="5A08C501" w14:textId="187764C1" w:rsidR="00153029" w:rsidRPr="00153029" w:rsidRDefault="00153029" w:rsidP="00153029">
            <w:pPr>
              <w:widowControl w:val="0"/>
              <w:spacing w:after="0"/>
              <w:rPr>
                <w:rFonts w:ascii="Arial" w:hAnsi="Arial" w:cs="Arial"/>
                <w:color w:val="000000" w:themeColor="text1"/>
                <w:sz w:val="18"/>
                <w:szCs w:val="18"/>
              </w:rPr>
            </w:pPr>
            <w:proofErr w:type="spellStart"/>
            <w:r>
              <w:rPr>
                <w:rFonts w:ascii="Arial" w:hAnsi="Arial"/>
                <w:color w:val="000000" w:themeColor="text1"/>
                <w:sz w:val="18"/>
                <w:szCs w:val="18"/>
              </w:rPr>
              <w:t>Reinickendorf</w:t>
            </w:r>
            <w:proofErr w:type="spellEnd"/>
          </w:p>
        </w:tc>
        <w:tc>
          <w:tcPr>
            <w:tcW w:w="1276" w:type="dxa"/>
            <w:shd w:val="clear" w:color="auto" w:fill="D9D9D9" w:themeFill="background1" w:themeFillShade="D9"/>
            <w:vAlign w:val="center"/>
          </w:tcPr>
          <w:p w14:paraId="1D7A9EEB" w14:textId="3760F3F7" w:rsidR="00153029" w:rsidRPr="00153029" w:rsidRDefault="00153029" w:rsidP="00153029">
            <w:pPr>
              <w:widowControl w:val="0"/>
              <w:spacing w:after="0"/>
              <w:rPr>
                <w:rFonts w:ascii="Arial" w:hAnsi="Arial" w:cs="Arial"/>
                <w:color w:val="000000" w:themeColor="text1"/>
                <w:sz w:val="18"/>
                <w:szCs w:val="18"/>
              </w:rPr>
            </w:pPr>
            <w:r>
              <w:rPr>
                <w:rFonts w:ascii="Arial" w:hAnsi="Arial"/>
                <w:color w:val="000000" w:themeColor="text1"/>
                <w:sz w:val="18"/>
                <w:szCs w:val="18"/>
              </w:rPr>
              <w:t>Offices</w:t>
            </w:r>
          </w:p>
        </w:tc>
        <w:tc>
          <w:tcPr>
            <w:tcW w:w="1559" w:type="dxa"/>
            <w:shd w:val="clear" w:color="auto" w:fill="D9D9D9" w:themeFill="background1" w:themeFillShade="D9"/>
            <w:vAlign w:val="center"/>
          </w:tcPr>
          <w:p w14:paraId="042F51E6" w14:textId="595DB744" w:rsidR="00153029" w:rsidRPr="007D505F" w:rsidRDefault="00153029" w:rsidP="00153029">
            <w:pPr>
              <w:widowControl w:val="0"/>
              <w:spacing w:after="0"/>
              <w:rPr>
                <w:rFonts w:ascii="Arial" w:hAnsi="Arial" w:cs="Arial"/>
                <w:sz w:val="18"/>
                <w:szCs w:val="18"/>
                <w:lang w:val="de-DE"/>
              </w:rPr>
            </w:pPr>
            <w:r w:rsidRPr="007D505F">
              <w:rPr>
                <w:rFonts w:ascii="Arial" w:hAnsi="Arial"/>
                <w:color w:val="000000" w:themeColor="text1"/>
                <w:sz w:val="18"/>
                <w:szCs w:val="18"/>
                <w:lang w:val="de-DE"/>
              </w:rPr>
              <w:t>Land Berlin Liegenschafts</w:t>
            </w:r>
            <w:r w:rsidR="00B71A72">
              <w:rPr>
                <w:rFonts w:ascii="Arial" w:hAnsi="Arial"/>
                <w:color w:val="000000" w:themeColor="text1"/>
                <w:sz w:val="18"/>
                <w:szCs w:val="18"/>
                <w:lang w:val="de-DE"/>
              </w:rPr>
              <w:t>-</w:t>
            </w:r>
            <w:r w:rsidRPr="007D505F">
              <w:rPr>
                <w:rFonts w:ascii="Arial" w:hAnsi="Arial"/>
                <w:color w:val="000000" w:themeColor="text1"/>
                <w:sz w:val="18"/>
                <w:szCs w:val="18"/>
                <w:lang w:val="de-DE"/>
              </w:rPr>
              <w:t xml:space="preserve">fonds (real </w:t>
            </w:r>
            <w:proofErr w:type="spellStart"/>
            <w:r w:rsidRPr="007D505F">
              <w:rPr>
                <w:rFonts w:ascii="Arial" w:hAnsi="Arial"/>
                <w:color w:val="000000" w:themeColor="text1"/>
                <w:sz w:val="18"/>
                <w:szCs w:val="18"/>
                <w:lang w:val="de-DE"/>
              </w:rPr>
              <w:t>estate</w:t>
            </w:r>
            <w:proofErr w:type="spellEnd"/>
            <w:r w:rsidRPr="007D505F">
              <w:rPr>
                <w:rFonts w:ascii="Arial" w:hAnsi="Arial"/>
                <w:color w:val="000000" w:themeColor="text1"/>
                <w:sz w:val="18"/>
                <w:szCs w:val="18"/>
                <w:lang w:val="de-DE"/>
              </w:rPr>
              <w:t xml:space="preserve"> </w:t>
            </w:r>
            <w:proofErr w:type="spellStart"/>
            <w:r w:rsidRPr="007D505F">
              <w:rPr>
                <w:rFonts w:ascii="Arial" w:hAnsi="Arial"/>
                <w:color w:val="000000" w:themeColor="text1"/>
                <w:sz w:val="18"/>
                <w:szCs w:val="18"/>
                <w:lang w:val="de-DE"/>
              </w:rPr>
              <w:t>fund</w:t>
            </w:r>
            <w:proofErr w:type="spellEnd"/>
            <w:r w:rsidRPr="007D505F">
              <w:rPr>
                <w:rFonts w:ascii="Arial" w:hAnsi="Arial"/>
                <w:color w:val="000000" w:themeColor="text1"/>
                <w:sz w:val="18"/>
                <w:szCs w:val="18"/>
                <w:lang w:val="de-DE"/>
              </w:rPr>
              <w:t>)</w:t>
            </w:r>
          </w:p>
        </w:tc>
        <w:tc>
          <w:tcPr>
            <w:tcW w:w="1843" w:type="dxa"/>
            <w:shd w:val="clear" w:color="auto" w:fill="D9D9D9" w:themeFill="background1" w:themeFillShade="D9"/>
            <w:vAlign w:val="center"/>
          </w:tcPr>
          <w:p w14:paraId="2665A4B2" w14:textId="3CD35AE3" w:rsidR="00153029" w:rsidRPr="007D505F" w:rsidRDefault="00153029" w:rsidP="00153029">
            <w:pPr>
              <w:widowControl w:val="0"/>
              <w:spacing w:after="0"/>
              <w:rPr>
                <w:rFonts w:ascii="Arial" w:hAnsi="Arial" w:cs="Arial"/>
                <w:color w:val="000000" w:themeColor="text1"/>
                <w:sz w:val="18"/>
                <w:szCs w:val="18"/>
                <w:lang w:val="de-DE"/>
              </w:rPr>
            </w:pPr>
            <w:r w:rsidRPr="007D505F">
              <w:rPr>
                <w:rFonts w:ascii="Arial" w:hAnsi="Arial"/>
                <w:color w:val="000000" w:themeColor="text1"/>
                <w:sz w:val="18"/>
                <w:szCs w:val="18"/>
                <w:lang w:val="de-DE"/>
              </w:rPr>
              <w:t xml:space="preserve">Bundesanstalt für Immobilienaufgaben (Federal real </w:t>
            </w:r>
            <w:proofErr w:type="spellStart"/>
            <w:r w:rsidRPr="007D505F">
              <w:rPr>
                <w:rFonts w:ascii="Arial" w:hAnsi="Arial"/>
                <w:color w:val="000000" w:themeColor="text1"/>
                <w:sz w:val="18"/>
                <w:szCs w:val="18"/>
                <w:lang w:val="de-DE"/>
              </w:rPr>
              <w:t>estate</w:t>
            </w:r>
            <w:proofErr w:type="spellEnd"/>
            <w:r w:rsidRPr="007D505F">
              <w:rPr>
                <w:rFonts w:ascii="Arial" w:hAnsi="Arial"/>
                <w:color w:val="000000" w:themeColor="text1"/>
                <w:sz w:val="18"/>
                <w:szCs w:val="18"/>
                <w:lang w:val="de-DE"/>
              </w:rPr>
              <w:t>)</w:t>
            </w:r>
          </w:p>
        </w:tc>
        <w:tc>
          <w:tcPr>
            <w:tcW w:w="1134" w:type="dxa"/>
            <w:shd w:val="clear" w:color="auto" w:fill="D9D9D9" w:themeFill="background1" w:themeFillShade="D9"/>
            <w:vAlign w:val="center"/>
          </w:tcPr>
          <w:p w14:paraId="246C06B9" w14:textId="13528691" w:rsidR="00153029" w:rsidRPr="00153029" w:rsidRDefault="00153029" w:rsidP="00153029">
            <w:pPr>
              <w:widowControl w:val="0"/>
              <w:spacing w:after="0"/>
              <w:jc w:val="right"/>
              <w:rPr>
                <w:rFonts w:ascii="Arial" w:hAnsi="Arial" w:cs="Arial"/>
                <w:color w:val="000000" w:themeColor="text1"/>
                <w:sz w:val="18"/>
                <w:szCs w:val="18"/>
              </w:rPr>
            </w:pPr>
            <w:r>
              <w:rPr>
                <w:rFonts w:ascii="Arial" w:hAnsi="Arial"/>
                <w:color w:val="000000" w:themeColor="text1"/>
                <w:sz w:val="18"/>
                <w:szCs w:val="18"/>
              </w:rPr>
              <w:t>261</w:t>
            </w:r>
          </w:p>
        </w:tc>
      </w:tr>
      <w:tr w:rsidR="00153029" w:rsidRPr="00F2414C" w14:paraId="17DE9172" w14:textId="77777777" w:rsidTr="00BB4C96">
        <w:trPr>
          <w:trHeight w:val="567"/>
        </w:trPr>
        <w:tc>
          <w:tcPr>
            <w:tcW w:w="2547" w:type="dxa"/>
            <w:shd w:val="clear" w:color="auto" w:fill="auto"/>
            <w:vAlign w:val="center"/>
          </w:tcPr>
          <w:p w14:paraId="7EA24246" w14:textId="1F1D35C2" w:rsidR="00153029" w:rsidRPr="002E7124" w:rsidRDefault="00153029" w:rsidP="00153029">
            <w:pPr>
              <w:widowControl w:val="0"/>
              <w:spacing w:after="0"/>
              <w:rPr>
                <w:rFonts w:ascii="Arial" w:hAnsi="Arial" w:cs="Arial"/>
                <w:color w:val="000000" w:themeColor="text1"/>
                <w:sz w:val="18"/>
                <w:szCs w:val="18"/>
                <w:highlight w:val="yellow"/>
              </w:rPr>
            </w:pPr>
            <w:r>
              <w:rPr>
                <w:rFonts w:ascii="Arial" w:hAnsi="Arial"/>
                <w:color w:val="000000" w:themeColor="text1"/>
                <w:sz w:val="18"/>
                <w:szCs w:val="18"/>
              </w:rPr>
              <w:t xml:space="preserve">“Techno Campus”, </w:t>
            </w:r>
            <w:r>
              <w:t xml:space="preserve"> </w:t>
            </w:r>
            <w:proofErr w:type="spellStart"/>
            <w:r>
              <w:rPr>
                <w:rFonts w:ascii="Arial" w:hAnsi="Arial"/>
                <w:color w:val="000000" w:themeColor="text1"/>
                <w:sz w:val="18"/>
                <w:szCs w:val="18"/>
              </w:rPr>
              <w:t>Siemensdamm</w:t>
            </w:r>
            <w:proofErr w:type="spellEnd"/>
            <w:r>
              <w:rPr>
                <w:rFonts w:ascii="Arial" w:hAnsi="Arial"/>
                <w:color w:val="000000" w:themeColor="text1"/>
                <w:sz w:val="18"/>
                <w:szCs w:val="18"/>
              </w:rPr>
              <w:t xml:space="preserve"> 59-63</w:t>
            </w:r>
          </w:p>
        </w:tc>
        <w:tc>
          <w:tcPr>
            <w:tcW w:w="1417" w:type="dxa"/>
            <w:shd w:val="clear" w:color="auto" w:fill="auto"/>
            <w:vAlign w:val="center"/>
          </w:tcPr>
          <w:p w14:paraId="31D56ABF" w14:textId="78A45E67" w:rsidR="00153029" w:rsidRPr="002E7124" w:rsidRDefault="00153029" w:rsidP="00153029">
            <w:pPr>
              <w:widowControl w:val="0"/>
              <w:spacing w:after="0"/>
              <w:rPr>
                <w:rFonts w:ascii="Arial" w:hAnsi="Arial" w:cs="Arial"/>
                <w:color w:val="000000" w:themeColor="text1"/>
                <w:sz w:val="18"/>
                <w:szCs w:val="18"/>
                <w:highlight w:val="yellow"/>
              </w:rPr>
            </w:pPr>
            <w:r>
              <w:rPr>
                <w:rFonts w:ascii="Arial" w:hAnsi="Arial"/>
                <w:color w:val="000000" w:themeColor="text1"/>
                <w:sz w:val="18"/>
                <w:szCs w:val="18"/>
              </w:rPr>
              <w:t>Periphery West</w:t>
            </w:r>
          </w:p>
        </w:tc>
        <w:tc>
          <w:tcPr>
            <w:tcW w:w="1276" w:type="dxa"/>
            <w:shd w:val="clear" w:color="auto" w:fill="auto"/>
            <w:vAlign w:val="center"/>
          </w:tcPr>
          <w:p w14:paraId="636CE9D7" w14:textId="60286CD4" w:rsidR="00153029" w:rsidRPr="002E7124" w:rsidRDefault="00153029" w:rsidP="00153029">
            <w:pPr>
              <w:widowControl w:val="0"/>
              <w:spacing w:after="0"/>
              <w:rPr>
                <w:rFonts w:ascii="Arial" w:hAnsi="Arial" w:cs="Arial"/>
                <w:color w:val="000000" w:themeColor="text1"/>
                <w:sz w:val="18"/>
                <w:szCs w:val="18"/>
                <w:highlight w:val="yellow"/>
              </w:rPr>
            </w:pPr>
            <w:r>
              <w:rPr>
                <w:rFonts w:ascii="Arial" w:hAnsi="Arial"/>
                <w:color w:val="000000" w:themeColor="text1"/>
                <w:sz w:val="18"/>
                <w:szCs w:val="18"/>
              </w:rPr>
              <w:t>Offices</w:t>
            </w:r>
          </w:p>
        </w:tc>
        <w:tc>
          <w:tcPr>
            <w:tcW w:w="1559" w:type="dxa"/>
            <w:shd w:val="clear" w:color="auto" w:fill="auto"/>
            <w:vAlign w:val="center"/>
          </w:tcPr>
          <w:p w14:paraId="6453CFBE" w14:textId="5FB64494" w:rsidR="00153029" w:rsidRPr="002E7124" w:rsidRDefault="00153029" w:rsidP="00153029">
            <w:pPr>
              <w:widowControl w:val="0"/>
              <w:spacing w:after="0"/>
              <w:rPr>
                <w:rFonts w:ascii="Arial" w:hAnsi="Arial" w:cs="Arial"/>
                <w:color w:val="000000" w:themeColor="text1"/>
                <w:sz w:val="18"/>
                <w:szCs w:val="18"/>
                <w:highlight w:val="yellow"/>
              </w:rPr>
            </w:pPr>
            <w:proofErr w:type="spellStart"/>
            <w:r>
              <w:rPr>
                <w:rFonts w:ascii="Arial" w:hAnsi="Arial"/>
                <w:sz w:val="18"/>
                <w:szCs w:val="18"/>
              </w:rPr>
              <w:t>Caleus</w:t>
            </w:r>
            <w:proofErr w:type="spellEnd"/>
            <w:r>
              <w:rPr>
                <w:rFonts w:ascii="Arial" w:hAnsi="Arial"/>
                <w:sz w:val="18"/>
                <w:szCs w:val="18"/>
              </w:rPr>
              <w:t xml:space="preserve"> Capital Partners for GIC</w:t>
            </w:r>
          </w:p>
        </w:tc>
        <w:tc>
          <w:tcPr>
            <w:tcW w:w="1843" w:type="dxa"/>
            <w:shd w:val="clear" w:color="auto" w:fill="auto"/>
            <w:vAlign w:val="center"/>
          </w:tcPr>
          <w:p w14:paraId="7E55A8C7" w14:textId="66B92EA6" w:rsidR="00153029" w:rsidRPr="002E7124" w:rsidRDefault="00153029" w:rsidP="00153029">
            <w:pPr>
              <w:widowControl w:val="0"/>
              <w:spacing w:after="0"/>
              <w:rPr>
                <w:rFonts w:ascii="Arial" w:hAnsi="Arial" w:cs="Arial"/>
                <w:color w:val="000000" w:themeColor="text1"/>
                <w:sz w:val="18"/>
                <w:szCs w:val="18"/>
                <w:highlight w:val="yellow"/>
              </w:rPr>
            </w:pPr>
            <w:proofErr w:type="spellStart"/>
            <w:r>
              <w:rPr>
                <w:rFonts w:ascii="Arial" w:hAnsi="Arial"/>
                <w:color w:val="000000" w:themeColor="text1"/>
                <w:sz w:val="18"/>
                <w:szCs w:val="18"/>
              </w:rPr>
              <w:t>Axa</w:t>
            </w:r>
            <w:proofErr w:type="spellEnd"/>
            <w:r>
              <w:rPr>
                <w:rFonts w:ascii="Arial" w:hAnsi="Arial"/>
                <w:color w:val="000000" w:themeColor="text1"/>
                <w:sz w:val="18"/>
                <w:szCs w:val="18"/>
              </w:rPr>
              <w:t xml:space="preserve"> Investment Managers</w:t>
            </w:r>
          </w:p>
        </w:tc>
        <w:tc>
          <w:tcPr>
            <w:tcW w:w="1134" w:type="dxa"/>
            <w:shd w:val="clear" w:color="auto" w:fill="auto"/>
            <w:vAlign w:val="center"/>
          </w:tcPr>
          <w:p w14:paraId="3738C4B1" w14:textId="58908190" w:rsidR="00153029" w:rsidRPr="002E7124" w:rsidRDefault="00153029" w:rsidP="00153029">
            <w:pPr>
              <w:widowControl w:val="0"/>
              <w:spacing w:after="0"/>
              <w:jc w:val="right"/>
              <w:rPr>
                <w:rFonts w:ascii="Arial" w:hAnsi="Arial" w:cs="Arial"/>
                <w:color w:val="000000" w:themeColor="text1"/>
                <w:sz w:val="18"/>
                <w:szCs w:val="18"/>
                <w:highlight w:val="yellow"/>
              </w:rPr>
            </w:pPr>
            <w:r>
              <w:rPr>
                <w:rFonts w:ascii="Arial" w:hAnsi="Arial"/>
                <w:color w:val="000000" w:themeColor="text1"/>
                <w:sz w:val="18"/>
                <w:szCs w:val="18"/>
              </w:rPr>
              <w:t>confidential</w:t>
            </w:r>
          </w:p>
        </w:tc>
      </w:tr>
    </w:tbl>
    <w:p w14:paraId="1643DBD5" w14:textId="31124693" w:rsidR="001E76C4" w:rsidRDefault="00C7341F" w:rsidP="001E76C4">
      <w:pPr>
        <w:spacing w:after="0"/>
        <w:rPr>
          <w:rFonts w:ascii="Arial" w:eastAsia="Arial" w:hAnsi="Arial" w:cs="Arial"/>
          <w:color w:val="000000" w:themeColor="text1"/>
          <w:sz w:val="20"/>
          <w:szCs w:val="20"/>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p w14:paraId="38EB286B" w14:textId="108EF0DE" w:rsidR="00C7341F" w:rsidRDefault="00C7341F" w:rsidP="00C7341F">
      <w:pPr>
        <w:widowControl w:val="0"/>
        <w:spacing w:after="0"/>
        <w:rPr>
          <w:rFonts w:ascii="Arial" w:hAnsi="Arial" w:cs="Arial"/>
          <w:sz w:val="16"/>
          <w:szCs w:val="16"/>
        </w:rPr>
      </w:pPr>
    </w:p>
    <w:p w14:paraId="76750CA4" w14:textId="77777777" w:rsidR="00095399" w:rsidRDefault="00095399" w:rsidP="0090748B">
      <w:pPr>
        <w:spacing w:after="0" w:line="360" w:lineRule="auto"/>
        <w:textAlignment w:val="baseline"/>
        <w:rPr>
          <w:rFonts w:ascii="Arial" w:eastAsia="Arial" w:hAnsi="Arial" w:cs="Arial"/>
          <w:color w:val="000000" w:themeColor="text1"/>
          <w:sz w:val="20"/>
          <w:szCs w:val="20"/>
        </w:rPr>
      </w:pPr>
    </w:p>
    <w:p w14:paraId="642E7059" w14:textId="363F4319" w:rsidR="0090748B" w:rsidRPr="005A3406" w:rsidRDefault="0090748B" w:rsidP="0090748B">
      <w:pPr>
        <w:spacing w:after="0" w:line="360" w:lineRule="auto"/>
        <w:textAlignment w:val="baseline"/>
        <w:rPr>
          <w:rFonts w:ascii="Arial" w:eastAsia="Arial" w:hAnsi="Arial" w:cs="Arial"/>
          <w:color w:val="000000" w:themeColor="text1"/>
          <w:sz w:val="20"/>
          <w:szCs w:val="20"/>
        </w:rPr>
      </w:pPr>
      <w:r w:rsidRPr="005A3406">
        <w:rPr>
          <w:rFonts w:ascii="Arial" w:hAnsi="Arial" w:cs="Arial"/>
          <w:sz w:val="20"/>
          <w:szCs w:val="20"/>
        </w:rPr>
        <w:t xml:space="preserve">The </w:t>
      </w:r>
      <w:hyperlink r:id="rId9" w:history="1">
        <w:r w:rsidR="005A3406" w:rsidRPr="005A3406">
          <w:rPr>
            <w:rStyle w:val="Hyperlink"/>
            <w:rFonts w:ascii="Arial" w:hAnsi="Arial" w:cs="Arial"/>
            <w:snapToGrid w:val="0"/>
            <w:sz w:val="20"/>
            <w:szCs w:val="20"/>
          </w:rPr>
          <w:t>M</w:t>
        </w:r>
        <w:r w:rsidRPr="005A3406">
          <w:rPr>
            <w:rStyle w:val="Hyperlink"/>
            <w:rFonts w:ascii="Arial" w:hAnsi="Arial" w:cs="Arial"/>
            <w:snapToGrid w:val="0"/>
            <w:sz w:val="20"/>
            <w:szCs w:val="20"/>
          </w:rPr>
          <w:t>arket survey property investment in Berlin 2022/Q4</w:t>
        </w:r>
      </w:hyperlink>
      <w:r w:rsidRPr="005A3406">
        <w:rPr>
          <w:rFonts w:ascii="Arial" w:hAnsi="Arial" w:cs="Arial"/>
          <w:color w:val="000000" w:themeColor="text1"/>
          <w:sz w:val="20"/>
          <w:szCs w:val="20"/>
        </w:rPr>
        <w:t xml:space="preserve"> will soon be available to download from our website.</w:t>
      </w:r>
    </w:p>
    <w:p w14:paraId="6498E5CA" w14:textId="77777777" w:rsidR="0090748B" w:rsidRDefault="0090748B" w:rsidP="000C770D">
      <w:pPr>
        <w:spacing w:after="0" w:line="360" w:lineRule="auto"/>
        <w:rPr>
          <w:rFonts w:ascii="Arial" w:hAnsi="Arial" w:cs="Arial"/>
          <w:sz w:val="20"/>
          <w:szCs w:val="20"/>
        </w:rPr>
      </w:pPr>
    </w:p>
    <w:p w14:paraId="32900A69" w14:textId="77777777" w:rsidR="00B466DD" w:rsidRPr="0090748B" w:rsidRDefault="00B466DD" w:rsidP="00B466DD">
      <w:pPr>
        <w:spacing w:after="0" w:line="360" w:lineRule="auto"/>
        <w:rPr>
          <w:rFonts w:ascii="Arial" w:hAnsi="Arial" w:cs="Arial"/>
          <w:b/>
          <w:sz w:val="16"/>
          <w:szCs w:val="16"/>
        </w:rPr>
      </w:pPr>
      <w:r>
        <w:rPr>
          <w:rFonts w:ascii="Arial" w:hAnsi="Arial"/>
          <w:b/>
          <w:sz w:val="16"/>
          <w:szCs w:val="16"/>
        </w:rPr>
        <w:t>About Grossmann &amp; Berger</w:t>
      </w:r>
    </w:p>
    <w:p w14:paraId="5AEC3C7A" w14:textId="45A4468B" w:rsidR="00B466DD" w:rsidRPr="00521AA1" w:rsidRDefault="005A3406" w:rsidP="00B466DD">
      <w:pPr>
        <w:spacing w:after="0" w:line="360" w:lineRule="auto"/>
        <w:rPr>
          <w:rFonts w:ascii="Arial" w:hAnsi="Arial" w:cs="Arial"/>
          <w:vanish/>
          <w:sz w:val="16"/>
          <w:szCs w:val="16"/>
          <w:specVanish/>
        </w:rPr>
      </w:pPr>
      <w:hyperlink r:id="rId10" w:history="1">
        <w:r w:rsidR="00B466DD">
          <w:rPr>
            <w:rStyle w:val="Hyperlink"/>
            <w:rFonts w:ascii="Arial" w:hAnsi="Arial"/>
            <w:snapToGrid w:val="0"/>
            <w:sz w:val="16"/>
            <w:szCs w:val="16"/>
          </w:rPr>
          <w:t>Grossmann &amp; Berger GmbH</w:t>
        </w:r>
      </w:hyperlink>
      <w:r w:rsidR="00B466DD">
        <w:rPr>
          <w:rFonts w:ascii="Arial" w:hAnsi="Arial"/>
          <w:snapToGrid w:val="0"/>
          <w:sz w:val="16"/>
          <w:szCs w:val="16"/>
        </w:rPr>
        <w:t xml:space="preserve"> is one of the leading service providers in the business of selling and letting commercial and residential properties in North Germany. Including its main office in Hamburg, the Company has 22 regional offices. This allows Grossmann &amp; </w:t>
      </w:r>
      <w:r w:rsidR="00B466DD">
        <w:rPr>
          <w:rFonts w:ascii="Arial" w:hAnsi="Arial"/>
          <w:snapToGrid w:val="0"/>
          <w:sz w:val="16"/>
          <w:szCs w:val="16"/>
        </w:rPr>
        <w:lastRenderedPageBreak/>
        <w:t xml:space="preserve">Berger to cover the entire North German market. In May 2021 the company was augmented by </w:t>
      </w:r>
      <w:hyperlink r:id="rId11" w:history="1">
        <w:r w:rsidR="00B466DD">
          <w:rPr>
            <w:rStyle w:val="Hyperlink"/>
            <w:rFonts w:ascii="Arial" w:hAnsi="Arial"/>
            <w:snapToGrid w:val="0"/>
            <w:sz w:val="16"/>
            <w:szCs w:val="16"/>
          </w:rPr>
          <w:t>E &amp; G Real Estate</w:t>
        </w:r>
      </w:hyperlink>
      <w:r w:rsidR="00B466DD">
        <w:rPr>
          <w:rFonts w:ascii="Arial" w:hAnsi="Arial"/>
          <w:snapToGrid w:val="0"/>
          <w:sz w:val="16"/>
          <w:szCs w:val="16"/>
        </w:rPr>
        <w:t xml:space="preserve"> and</w:t>
      </w:r>
      <w:r w:rsidR="00B466DD">
        <w:rPr>
          <w:rFonts w:ascii="Arial" w:hAnsi="Arial"/>
          <w:snapToGrid w:val="0"/>
          <w:sz w:val="16"/>
          <w:szCs w:val="16"/>
        </w:rPr>
        <w:br/>
      </w:r>
      <w:hyperlink r:id="rId12" w:history="1">
        <w:r w:rsidR="00B466DD">
          <w:rPr>
            <w:rStyle w:val="Hyperlink"/>
            <w:rFonts w:ascii="Arial" w:hAnsi="Arial"/>
            <w:snapToGrid w:val="0"/>
            <w:sz w:val="16"/>
            <w:szCs w:val="16"/>
          </w:rPr>
          <w:t xml:space="preserve">E &amp; G Private </w:t>
        </w:r>
        <w:proofErr w:type="spellStart"/>
        <w:r w:rsidR="00B466DD">
          <w:rPr>
            <w:rStyle w:val="Hyperlink"/>
            <w:rFonts w:ascii="Arial" w:hAnsi="Arial"/>
            <w:snapToGrid w:val="0"/>
            <w:sz w:val="16"/>
            <w:szCs w:val="16"/>
          </w:rPr>
          <w:t>Immobilien</w:t>
        </w:r>
        <w:proofErr w:type="spellEnd"/>
      </w:hyperlink>
      <w:r w:rsidR="00B466DD">
        <w:rPr>
          <w:rFonts w:ascii="Arial" w:hAnsi="Arial"/>
          <w:snapToGrid w:val="0"/>
          <w:sz w:val="16"/>
          <w:szCs w:val="16"/>
        </w:rPr>
        <w:t xml:space="preserve">, so that Grossmann &amp; Berger also operates in the two South German metropolitan areas of Stuttgart and Munich. Drawing on their comprehensive expertise in the real estate business, some 240 employees provide the full range of relevant services. They also benefit from the company’s more than 85 years standing in the industry. </w:t>
      </w:r>
      <w:r w:rsidR="00B466DD">
        <w:rPr>
          <w:rFonts w:ascii="Arial" w:hAnsi="Arial"/>
          <w:sz w:val="16"/>
          <w:szCs w:val="16"/>
        </w:rPr>
        <w:t xml:space="preserve">Grossmann &amp; Berger belongs to the HASPA Group and is a founding member of the national commercial real estate network </w:t>
      </w:r>
      <w:hyperlink r:id="rId13" w:history="1">
        <w:r w:rsidR="00B466DD">
          <w:rPr>
            <w:rStyle w:val="Hyperlink"/>
            <w:rFonts w:ascii="Arial" w:hAnsi="Arial"/>
            <w:sz w:val="16"/>
            <w:szCs w:val="16"/>
          </w:rPr>
          <w:t>German Property Partners</w:t>
        </w:r>
      </w:hyperlink>
      <w:r w:rsidR="00B466DD">
        <w:rPr>
          <w:rFonts w:ascii="Arial" w:hAnsi="Arial"/>
          <w:sz w:val="16"/>
          <w:szCs w:val="16"/>
        </w:rPr>
        <w:t xml:space="preserve"> (GPP).</w:t>
      </w:r>
    </w:p>
    <w:p w14:paraId="33D90876" w14:textId="77777777" w:rsidR="00B466DD" w:rsidRPr="00521AA1" w:rsidRDefault="00B466DD" w:rsidP="00B466DD">
      <w:pPr>
        <w:spacing w:after="0" w:line="360" w:lineRule="auto"/>
        <w:rPr>
          <w:rFonts w:ascii="Arial" w:hAnsi="Arial" w:cs="Arial"/>
          <w:sz w:val="16"/>
          <w:szCs w:val="16"/>
        </w:rPr>
      </w:pPr>
    </w:p>
    <w:p w14:paraId="28265F2D" w14:textId="77777777" w:rsidR="00B466DD" w:rsidRDefault="00B466DD" w:rsidP="00B466DD">
      <w:pPr>
        <w:spacing w:after="0" w:line="360" w:lineRule="auto"/>
        <w:rPr>
          <w:rFonts w:ascii="Arial" w:hAnsi="Arial" w:cs="Arial"/>
          <w:sz w:val="16"/>
          <w:szCs w:val="16"/>
        </w:rPr>
      </w:pPr>
    </w:p>
    <w:p w14:paraId="631DFFB0" w14:textId="28EA28E0" w:rsidR="00B466DD" w:rsidRDefault="00B466DD" w:rsidP="00B466DD">
      <w:pPr>
        <w:spacing w:after="0" w:line="360" w:lineRule="auto"/>
        <w:rPr>
          <w:rStyle w:val="Fett"/>
          <w:rFonts w:ascii="Arial" w:hAnsi="Arial" w:cs="Arial"/>
          <w:b w:val="0"/>
          <w:color w:val="000000" w:themeColor="text1"/>
          <w:sz w:val="20"/>
          <w:szCs w:val="20"/>
        </w:rPr>
      </w:pPr>
      <w:r>
        <w:rPr>
          <w:rFonts w:ascii="Arial" w:hAnsi="Arial"/>
          <w:sz w:val="16"/>
          <w:szCs w:val="16"/>
        </w:rPr>
        <w:t xml:space="preserve">Please consult our website for Grossmann &amp; Berger’s </w:t>
      </w:r>
      <w:hyperlink r:id="rId14" w:history="1">
        <w:r>
          <w:rPr>
            <w:rStyle w:val="Hyperlink"/>
            <w:rFonts w:ascii="Arial" w:hAnsi="Arial"/>
            <w:sz w:val="16"/>
            <w:szCs w:val="16"/>
          </w:rPr>
          <w:t>data privacy policy</w:t>
        </w:r>
      </w:hyperlink>
      <w:r>
        <w:rPr>
          <w:rFonts w:ascii="Arial" w:hAnsi="Arial"/>
          <w:sz w:val="16"/>
          <w:szCs w:val="16"/>
        </w:rPr>
        <w:t xml:space="preserve">. Here you will also be able to access our </w:t>
      </w:r>
      <w:hyperlink r:id="rId15" w:history="1">
        <w:r>
          <w:rPr>
            <w:rStyle w:val="Hyperlink"/>
            <w:rFonts w:ascii="Arial" w:hAnsi="Arial"/>
            <w:sz w:val="16"/>
            <w:szCs w:val="16"/>
          </w:rPr>
          <w:t>press kit</w:t>
        </w:r>
      </w:hyperlink>
      <w:r>
        <w:rPr>
          <w:rFonts w:ascii="Arial" w:hAnsi="Arial"/>
          <w:sz w:val="16"/>
          <w:szCs w:val="16"/>
        </w:rPr>
        <w:t xml:space="preserve"> and the associated </w:t>
      </w:r>
      <w:hyperlink r:id="rId16"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7"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4CECEBB6" w14:textId="7E7D937C" w:rsidR="00503D8C" w:rsidRPr="00712CE1" w:rsidRDefault="00503D8C" w:rsidP="00B747F3">
      <w:pPr>
        <w:spacing w:after="0" w:line="360" w:lineRule="auto"/>
        <w:rPr>
          <w:rFonts w:ascii="Arial" w:hAnsi="Arial" w:cs="Arial"/>
          <w:sz w:val="16"/>
          <w:szCs w:val="16"/>
        </w:rPr>
      </w:pPr>
    </w:p>
    <w:sectPr w:rsidR="00503D8C" w:rsidRPr="00712CE1"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0391B" w16cex:dateUtc="2022-03-31T12:28:00Z"/>
  <w16cex:commentExtensible w16cex:durableId="25F0394C" w16cex:dateUtc="2022-03-31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377545" w16cid:durableId="25F0391B"/>
  <w16cid:commentId w16cid:paraId="4A657374" w16cid:durableId="25F039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FFEA" w14:textId="77777777" w:rsidR="00402A07" w:rsidRDefault="00402A07">
      <w:r>
        <w:separator/>
      </w:r>
    </w:p>
  </w:endnote>
  <w:endnote w:type="continuationSeparator" w:id="0">
    <w:p w14:paraId="107EA74E" w14:textId="77777777" w:rsidR="00402A07" w:rsidRDefault="0040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10022" w14:textId="3E650D65"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7D505F">
      <w:rPr>
        <w:rFonts w:ascii="Arial" w:hAnsi="Arial"/>
        <w:b/>
        <w:bCs/>
        <w:color w:val="918F90"/>
        <w:sz w:val="18"/>
        <w:szCs w:val="18"/>
        <w:lang w:val="de-DE"/>
      </w:rPr>
      <w:t xml:space="preserve">Grossmann &amp; Berger GmbH </w:t>
    </w:r>
    <w:r w:rsidRPr="007D505F">
      <w:rPr>
        <w:rFonts w:ascii="Arial" w:hAnsi="Arial"/>
        <w:color w:val="918F90"/>
        <w:sz w:val="18"/>
        <w:szCs w:val="18"/>
        <w:lang w:val="de-DE"/>
      </w:rPr>
      <w:t xml:space="preserve">| </w:t>
    </w:r>
    <w:proofErr w:type="spellStart"/>
    <w:r w:rsidRPr="007D505F">
      <w:rPr>
        <w:rFonts w:ascii="Arial" w:hAnsi="Arial"/>
        <w:color w:val="918F90"/>
        <w:sz w:val="18"/>
        <w:szCs w:val="18"/>
        <w:lang w:val="de-DE"/>
      </w:rPr>
      <w:t>Bleichenbrücke</w:t>
    </w:r>
    <w:proofErr w:type="spellEnd"/>
    <w:r w:rsidRPr="007D505F">
      <w:rPr>
        <w:rFonts w:ascii="Arial" w:hAnsi="Arial"/>
        <w:color w:val="918F90"/>
        <w:sz w:val="18"/>
        <w:szCs w:val="18"/>
        <w:lang w:val="de-DE"/>
      </w:rPr>
      <w:t xml:space="preserve"> 9 | 20354 Hamburg | Tel. </w:t>
    </w:r>
    <w:r>
      <w:rPr>
        <w:rFonts w:ascii="Arial" w:hAnsi="Arial"/>
        <w:color w:val="918F90"/>
        <w:sz w:val="18"/>
        <w:szCs w:val="18"/>
      </w:rPr>
      <w:t>+49 (0)40 / 350 80 2-0 | www.grossmann-berger.de</w:t>
    </w:r>
  </w:p>
  <w:p w14:paraId="5E0EDDBC" w14:textId="26681A39"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5A3406">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5A3406">
      <w:rPr>
        <w:rStyle w:val="Seitenzahl"/>
        <w:rFonts w:ascii="Arial" w:hAnsi="Arial" w:cs="Arial"/>
        <w:noProof/>
        <w:color w:val="000000" w:themeColor="text1"/>
        <w:sz w:val="18"/>
        <w:szCs w:val="18"/>
      </w:rPr>
      <w:t>3</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EE9" w14:textId="77777777" w:rsidR="008C608D" w:rsidRDefault="008C608D">
    <w:pPr>
      <w:pStyle w:val="Fuzeile"/>
    </w:pPr>
    <w:r>
      <w:rPr>
        <w:noProof/>
        <w:lang w:val="de-DE" w:eastAsia="de-DE"/>
      </w:rPr>
      <w:drawing>
        <wp:anchor distT="0" distB="0" distL="0" distR="0" simplePos="0" relativeHeight="251659264" behindDoc="0" locked="0" layoutInCell="0" allowOverlap="1" wp14:anchorId="648292C5" wp14:editId="00457459">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D0DF" w14:textId="77777777" w:rsidR="00402A07" w:rsidRDefault="00402A07">
      <w:r>
        <w:separator/>
      </w:r>
    </w:p>
  </w:footnote>
  <w:footnote w:type="continuationSeparator" w:id="0">
    <w:p w14:paraId="52C87668" w14:textId="77777777" w:rsidR="00402A07" w:rsidRDefault="0040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0661" w14:textId="77777777" w:rsidR="006138CB" w:rsidRPr="009E3ADA" w:rsidRDefault="00E5203C"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58C25E6F" wp14:editId="42127F1E">
              <wp:simplePos x="0" y="0"/>
              <wp:positionH relativeFrom="column">
                <wp:posOffset>-81916</wp:posOffset>
              </wp:positionH>
              <wp:positionV relativeFrom="paragraph">
                <wp:posOffset>20955</wp:posOffset>
              </wp:positionV>
              <wp:extent cx="5019675"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9675" cy="1403985"/>
                      </a:xfrm>
                      <a:prstGeom prst="rect">
                        <a:avLst/>
                      </a:prstGeom>
                      <a:noFill/>
                      <a:ln w="9525">
                        <a:noFill/>
                        <a:miter lim="800000"/>
                        <a:headEnd/>
                        <a:tailEnd/>
                      </a:ln>
                    </wps:spPr>
                    <wps:txbx>
                      <w:txbxContent>
                        <w:p w14:paraId="038D3993" w14:textId="4A00A49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C25E6F" id="_x0000_t202" coordsize="21600,21600" o:spt="202" path="m,l,21600r21600,l21600,xe">
              <v:stroke joinstyle="miter"/>
              <v:path gradientshapeok="t" o:connecttype="rect"/>
            </v:shapetype>
            <v:shape id="Textfeld 2" o:spid="_x0000_s1026" type="#_x0000_t202" style="position:absolute;left:0;text-align:left;margin-left:-6.45pt;margin-top:1.65pt;width:39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" filled="f" stroked="f">
              <v:textbox style="mso-fit-shape-to-text:t">
                <w:txbxContent>
                  <w:p w14:paraId="038D3993" w14:textId="4A00A497"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v:textbox>
            </v:shape>
          </w:pict>
        </mc:Fallback>
      </mc:AlternateContent>
    </w:r>
    <w:r>
      <w:rPr>
        <w:rFonts w:ascii="Arial" w:hAnsi="Arial"/>
        <w:color w:val="918F90"/>
        <w:sz w:val="28"/>
        <w:szCs w:val="28"/>
      </w:rPr>
      <w:t>Press release</w:t>
    </w:r>
  </w:p>
  <w:p w14:paraId="4672834A"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6F632" w14:textId="77777777" w:rsidR="00D83CB7" w:rsidRDefault="00E5203C"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26FF3942" wp14:editId="1F9AD08A">
              <wp:simplePos x="0" y="0"/>
              <wp:positionH relativeFrom="column">
                <wp:posOffset>-78646</wp:posOffset>
              </wp:positionH>
              <wp:positionV relativeFrom="paragraph">
                <wp:posOffset>22092</wp:posOffset>
              </wp:positionV>
              <wp:extent cx="4947313"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313" cy="1403985"/>
                      </a:xfrm>
                      <a:prstGeom prst="rect">
                        <a:avLst/>
                      </a:prstGeom>
                      <a:noFill/>
                      <a:ln w="9525">
                        <a:noFill/>
                        <a:miter lim="800000"/>
                        <a:headEnd/>
                        <a:tailEnd/>
                      </a:ln>
                    </wps:spPr>
                    <wps:txbx>
                      <w:txbxContent>
                        <w:p w14:paraId="341F569C" w14:textId="4B7A5418"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F3942" id="_x0000_t202" coordsize="21600,21600" o:spt="202" path="m,l,21600r21600,l21600,xe">
              <v:stroke joinstyle="miter"/>
              <v:path gradientshapeok="t" o:connecttype="rect"/>
            </v:shapetype>
            <v:shape id="_x0000_s1027" type="#_x0000_t202" style="position:absolute;left:0;text-align:left;margin-left:-6.2pt;margin-top:1.75pt;width:38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" filled="f" stroked="f">
              <v:textbox style="mso-fit-shape-to-text:t">
                <w:txbxContent>
                  <w:p w14:paraId="341F569C" w14:textId="4B7A5418" w:rsidR="00E5203C" w:rsidRPr="001E3456" w:rsidRDefault="00E5203C" w:rsidP="00E5203C">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Katharina Koester | Tel: +49 (0)40 / 350 80 2-988 | k.koester@grossmann-berger.de</w:t>
                    </w:r>
                  </w:p>
                </w:txbxContent>
              </v:textbox>
            </v:shape>
          </w:pict>
        </mc:Fallback>
      </mc:AlternateContent>
    </w:r>
    <w:r>
      <w:rPr>
        <w:rFonts w:ascii="Arial" w:hAnsi="Arial"/>
        <w:color w:val="918F90"/>
        <w:sz w:val="28"/>
        <w:szCs w:val="28"/>
      </w:rPr>
      <w:t>Press release</w:t>
    </w:r>
  </w:p>
  <w:p w14:paraId="3FAFB734"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EB0C52"/>
    <w:multiLevelType w:val="hybridMultilevel"/>
    <w:tmpl w:val="1CE495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065F13"/>
    <w:multiLevelType w:val="hybridMultilevel"/>
    <w:tmpl w:val="4D16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C85A89"/>
    <w:multiLevelType w:val="hybridMultilevel"/>
    <w:tmpl w:val="E0EEAA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EC7B8E"/>
    <w:multiLevelType w:val="hybridMultilevel"/>
    <w:tmpl w:val="970AC426"/>
    <w:lvl w:ilvl="0" w:tplc="C4768AF6">
      <w:start w:val="6"/>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510B33"/>
    <w:multiLevelType w:val="hybridMultilevel"/>
    <w:tmpl w:val="B51EE262"/>
    <w:lvl w:ilvl="0" w:tplc="84565650">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1C6700"/>
    <w:multiLevelType w:val="hybridMultilevel"/>
    <w:tmpl w:val="C38C55C0"/>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F830F8"/>
    <w:multiLevelType w:val="hybridMultilevel"/>
    <w:tmpl w:val="CE54F1DE"/>
    <w:lvl w:ilvl="0" w:tplc="41F6EF16">
      <w:start w:val="28"/>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20"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21"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6FFF56F7"/>
    <w:multiLevelType w:val="hybridMultilevel"/>
    <w:tmpl w:val="F8825B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021576"/>
    <w:multiLevelType w:val="hybridMultilevel"/>
    <w:tmpl w:val="3378CEC8"/>
    <w:lvl w:ilvl="0" w:tplc="5D5025CA">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9"/>
  </w:num>
  <w:num w:numId="13">
    <w:abstractNumId w:val="22"/>
  </w:num>
  <w:num w:numId="14">
    <w:abstractNumId w:val="20"/>
  </w:num>
  <w:num w:numId="15">
    <w:abstractNumId w:val="21"/>
  </w:num>
  <w:num w:numId="16">
    <w:abstractNumId w:val="12"/>
  </w:num>
  <w:num w:numId="17">
    <w:abstractNumId w:val="18"/>
  </w:num>
  <w:num w:numId="18">
    <w:abstractNumId w:val="13"/>
  </w:num>
  <w:num w:numId="19">
    <w:abstractNumId w:val="23"/>
  </w:num>
  <w:num w:numId="20">
    <w:abstractNumId w:val="17"/>
  </w:num>
  <w:num w:numId="21">
    <w:abstractNumId w:val="15"/>
  </w:num>
  <w:num w:numId="22">
    <w:abstractNumId w:val="11"/>
  </w:num>
  <w:num w:numId="23">
    <w:abstractNumId w:val="24"/>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4FEC"/>
    <w:rsid w:val="0000598D"/>
    <w:rsid w:val="000159FE"/>
    <w:rsid w:val="000202AA"/>
    <w:rsid w:val="00022F16"/>
    <w:rsid w:val="00023D78"/>
    <w:rsid w:val="00030053"/>
    <w:rsid w:val="0003075C"/>
    <w:rsid w:val="00050080"/>
    <w:rsid w:val="00054DC9"/>
    <w:rsid w:val="00060743"/>
    <w:rsid w:val="00066796"/>
    <w:rsid w:val="000766D7"/>
    <w:rsid w:val="00095399"/>
    <w:rsid w:val="000A42D3"/>
    <w:rsid w:val="000B3315"/>
    <w:rsid w:val="000B579C"/>
    <w:rsid w:val="000B711C"/>
    <w:rsid w:val="000C770D"/>
    <w:rsid w:val="000D3CAE"/>
    <w:rsid w:val="000D774D"/>
    <w:rsid w:val="000E03F3"/>
    <w:rsid w:val="000E120E"/>
    <w:rsid w:val="000F1B26"/>
    <w:rsid w:val="001029C4"/>
    <w:rsid w:val="00106F37"/>
    <w:rsid w:val="0011486D"/>
    <w:rsid w:val="00121E33"/>
    <w:rsid w:val="0012484F"/>
    <w:rsid w:val="00126550"/>
    <w:rsid w:val="001324D6"/>
    <w:rsid w:val="00135BD2"/>
    <w:rsid w:val="00142A67"/>
    <w:rsid w:val="00153029"/>
    <w:rsid w:val="00154825"/>
    <w:rsid w:val="00155DAF"/>
    <w:rsid w:val="0016391F"/>
    <w:rsid w:val="00173FDB"/>
    <w:rsid w:val="0017402C"/>
    <w:rsid w:val="0017516B"/>
    <w:rsid w:val="00176F1D"/>
    <w:rsid w:val="00190298"/>
    <w:rsid w:val="001922E2"/>
    <w:rsid w:val="00192A39"/>
    <w:rsid w:val="001A2ABE"/>
    <w:rsid w:val="001A360C"/>
    <w:rsid w:val="001A5E9E"/>
    <w:rsid w:val="001B3575"/>
    <w:rsid w:val="001C0EEE"/>
    <w:rsid w:val="001D0D74"/>
    <w:rsid w:val="001D14DA"/>
    <w:rsid w:val="001E6995"/>
    <w:rsid w:val="001E76C4"/>
    <w:rsid w:val="001F1513"/>
    <w:rsid w:val="001F6BCE"/>
    <w:rsid w:val="00202AE4"/>
    <w:rsid w:val="00205769"/>
    <w:rsid w:val="00206F94"/>
    <w:rsid w:val="00210B56"/>
    <w:rsid w:val="00212FEC"/>
    <w:rsid w:val="002131BB"/>
    <w:rsid w:val="0022086D"/>
    <w:rsid w:val="002220CB"/>
    <w:rsid w:val="00225F74"/>
    <w:rsid w:val="00227E31"/>
    <w:rsid w:val="00230F81"/>
    <w:rsid w:val="002538F8"/>
    <w:rsid w:val="00254C6F"/>
    <w:rsid w:val="0026534A"/>
    <w:rsid w:val="00267947"/>
    <w:rsid w:val="00267E4A"/>
    <w:rsid w:val="0027266B"/>
    <w:rsid w:val="00281E80"/>
    <w:rsid w:val="002834B0"/>
    <w:rsid w:val="00283671"/>
    <w:rsid w:val="00284E27"/>
    <w:rsid w:val="0028566C"/>
    <w:rsid w:val="0029474A"/>
    <w:rsid w:val="002A028B"/>
    <w:rsid w:val="002A1973"/>
    <w:rsid w:val="002A7665"/>
    <w:rsid w:val="002B0935"/>
    <w:rsid w:val="002B16FA"/>
    <w:rsid w:val="002B1F33"/>
    <w:rsid w:val="002C2392"/>
    <w:rsid w:val="002C2B21"/>
    <w:rsid w:val="002C31E8"/>
    <w:rsid w:val="002C3E12"/>
    <w:rsid w:val="002D1C5C"/>
    <w:rsid w:val="002D1E20"/>
    <w:rsid w:val="002D6EF1"/>
    <w:rsid w:val="002E24A0"/>
    <w:rsid w:val="002E6860"/>
    <w:rsid w:val="002E7124"/>
    <w:rsid w:val="002F0411"/>
    <w:rsid w:val="00304104"/>
    <w:rsid w:val="00325E2A"/>
    <w:rsid w:val="0034786C"/>
    <w:rsid w:val="003517C9"/>
    <w:rsid w:val="0035325B"/>
    <w:rsid w:val="003559FF"/>
    <w:rsid w:val="003577ED"/>
    <w:rsid w:val="00370000"/>
    <w:rsid w:val="00373507"/>
    <w:rsid w:val="00376D12"/>
    <w:rsid w:val="00381331"/>
    <w:rsid w:val="0038230E"/>
    <w:rsid w:val="00382529"/>
    <w:rsid w:val="00384022"/>
    <w:rsid w:val="0039183F"/>
    <w:rsid w:val="00394EDE"/>
    <w:rsid w:val="003A3481"/>
    <w:rsid w:val="003A75E8"/>
    <w:rsid w:val="003B42CD"/>
    <w:rsid w:val="003B4CCF"/>
    <w:rsid w:val="003C2366"/>
    <w:rsid w:val="003C6AB4"/>
    <w:rsid w:val="003D52A0"/>
    <w:rsid w:val="003D69DE"/>
    <w:rsid w:val="003E099F"/>
    <w:rsid w:val="003F0987"/>
    <w:rsid w:val="003F1645"/>
    <w:rsid w:val="003F4284"/>
    <w:rsid w:val="003F4FE3"/>
    <w:rsid w:val="0040086D"/>
    <w:rsid w:val="004017D8"/>
    <w:rsid w:val="00402A07"/>
    <w:rsid w:val="00406121"/>
    <w:rsid w:val="00411E03"/>
    <w:rsid w:val="004123B1"/>
    <w:rsid w:val="004303A1"/>
    <w:rsid w:val="004351E4"/>
    <w:rsid w:val="0043721F"/>
    <w:rsid w:val="00440DC9"/>
    <w:rsid w:val="0044622D"/>
    <w:rsid w:val="004506D2"/>
    <w:rsid w:val="00456F40"/>
    <w:rsid w:val="004609BD"/>
    <w:rsid w:val="004661EE"/>
    <w:rsid w:val="00466741"/>
    <w:rsid w:val="0047591A"/>
    <w:rsid w:val="004818C4"/>
    <w:rsid w:val="004839BD"/>
    <w:rsid w:val="00491E10"/>
    <w:rsid w:val="004A2BEA"/>
    <w:rsid w:val="004A3C64"/>
    <w:rsid w:val="004A5AEA"/>
    <w:rsid w:val="004B09DE"/>
    <w:rsid w:val="004B1B8E"/>
    <w:rsid w:val="004B2FDA"/>
    <w:rsid w:val="004B480A"/>
    <w:rsid w:val="004B6E37"/>
    <w:rsid w:val="004C1FA6"/>
    <w:rsid w:val="004C3D1A"/>
    <w:rsid w:val="004E339B"/>
    <w:rsid w:val="004E4562"/>
    <w:rsid w:val="004F077F"/>
    <w:rsid w:val="004F139A"/>
    <w:rsid w:val="00501E7D"/>
    <w:rsid w:val="005023DD"/>
    <w:rsid w:val="00503D8C"/>
    <w:rsid w:val="00512345"/>
    <w:rsid w:val="005223FE"/>
    <w:rsid w:val="00522B84"/>
    <w:rsid w:val="00531A7F"/>
    <w:rsid w:val="005428C5"/>
    <w:rsid w:val="00543C55"/>
    <w:rsid w:val="00546610"/>
    <w:rsid w:val="00546707"/>
    <w:rsid w:val="005554C7"/>
    <w:rsid w:val="00565657"/>
    <w:rsid w:val="00582B99"/>
    <w:rsid w:val="00586DAE"/>
    <w:rsid w:val="00590903"/>
    <w:rsid w:val="00593B27"/>
    <w:rsid w:val="005A0778"/>
    <w:rsid w:val="005A3406"/>
    <w:rsid w:val="005B0FC9"/>
    <w:rsid w:val="005B2A58"/>
    <w:rsid w:val="005B66D3"/>
    <w:rsid w:val="005C4556"/>
    <w:rsid w:val="005C5302"/>
    <w:rsid w:val="005E35CD"/>
    <w:rsid w:val="005E362E"/>
    <w:rsid w:val="005E4B48"/>
    <w:rsid w:val="005F6E2B"/>
    <w:rsid w:val="00602EF0"/>
    <w:rsid w:val="0061109D"/>
    <w:rsid w:val="00612AA0"/>
    <w:rsid w:val="006138CB"/>
    <w:rsid w:val="006224C4"/>
    <w:rsid w:val="006225EA"/>
    <w:rsid w:val="006261DF"/>
    <w:rsid w:val="006263BD"/>
    <w:rsid w:val="00633B9C"/>
    <w:rsid w:val="00642074"/>
    <w:rsid w:val="00643A54"/>
    <w:rsid w:val="0065677B"/>
    <w:rsid w:val="00656B29"/>
    <w:rsid w:val="00665A14"/>
    <w:rsid w:val="00665FC2"/>
    <w:rsid w:val="006778B1"/>
    <w:rsid w:val="00687D00"/>
    <w:rsid w:val="00694C32"/>
    <w:rsid w:val="00695E58"/>
    <w:rsid w:val="006A1329"/>
    <w:rsid w:val="006A66F9"/>
    <w:rsid w:val="006B1624"/>
    <w:rsid w:val="006D4101"/>
    <w:rsid w:val="006D7DC5"/>
    <w:rsid w:val="006E4CF0"/>
    <w:rsid w:val="006E5F6E"/>
    <w:rsid w:val="00710607"/>
    <w:rsid w:val="00712CE1"/>
    <w:rsid w:val="00720DFF"/>
    <w:rsid w:val="007218C0"/>
    <w:rsid w:val="00724F8C"/>
    <w:rsid w:val="00727E22"/>
    <w:rsid w:val="00762CC5"/>
    <w:rsid w:val="0076540A"/>
    <w:rsid w:val="00776CA6"/>
    <w:rsid w:val="00781CBD"/>
    <w:rsid w:val="00783517"/>
    <w:rsid w:val="00787C24"/>
    <w:rsid w:val="007906B4"/>
    <w:rsid w:val="007A4FCB"/>
    <w:rsid w:val="007A7F58"/>
    <w:rsid w:val="007B78A8"/>
    <w:rsid w:val="007C013D"/>
    <w:rsid w:val="007C5658"/>
    <w:rsid w:val="007D505F"/>
    <w:rsid w:val="007E4885"/>
    <w:rsid w:val="007E759D"/>
    <w:rsid w:val="007F49FD"/>
    <w:rsid w:val="00812471"/>
    <w:rsid w:val="008143C6"/>
    <w:rsid w:val="008238F0"/>
    <w:rsid w:val="008261A5"/>
    <w:rsid w:val="008314AD"/>
    <w:rsid w:val="0083382E"/>
    <w:rsid w:val="00855325"/>
    <w:rsid w:val="00862E02"/>
    <w:rsid w:val="00862E34"/>
    <w:rsid w:val="00865915"/>
    <w:rsid w:val="00865D20"/>
    <w:rsid w:val="00871832"/>
    <w:rsid w:val="00886CCE"/>
    <w:rsid w:val="00896B33"/>
    <w:rsid w:val="008A62FB"/>
    <w:rsid w:val="008A77B7"/>
    <w:rsid w:val="008B04D6"/>
    <w:rsid w:val="008B0F67"/>
    <w:rsid w:val="008B5E36"/>
    <w:rsid w:val="008C608D"/>
    <w:rsid w:val="008D0A26"/>
    <w:rsid w:val="008D114D"/>
    <w:rsid w:val="008E461D"/>
    <w:rsid w:val="008F02E9"/>
    <w:rsid w:val="008F08E5"/>
    <w:rsid w:val="008F0C4C"/>
    <w:rsid w:val="008F0EA4"/>
    <w:rsid w:val="008F5213"/>
    <w:rsid w:val="009066C5"/>
    <w:rsid w:val="0090748B"/>
    <w:rsid w:val="00920C9C"/>
    <w:rsid w:val="00922754"/>
    <w:rsid w:val="00925781"/>
    <w:rsid w:val="00925804"/>
    <w:rsid w:val="009258D0"/>
    <w:rsid w:val="00930CEF"/>
    <w:rsid w:val="00935AB3"/>
    <w:rsid w:val="00946BF0"/>
    <w:rsid w:val="009734CE"/>
    <w:rsid w:val="00977A88"/>
    <w:rsid w:val="00980EDB"/>
    <w:rsid w:val="009864F4"/>
    <w:rsid w:val="0099478D"/>
    <w:rsid w:val="00996E1A"/>
    <w:rsid w:val="009A0FA2"/>
    <w:rsid w:val="009A4414"/>
    <w:rsid w:val="009C12BC"/>
    <w:rsid w:val="009D24DA"/>
    <w:rsid w:val="009D5738"/>
    <w:rsid w:val="009D5D75"/>
    <w:rsid w:val="009E17F7"/>
    <w:rsid w:val="009F1ABD"/>
    <w:rsid w:val="009F32A2"/>
    <w:rsid w:val="009F54CE"/>
    <w:rsid w:val="00A00F36"/>
    <w:rsid w:val="00A06264"/>
    <w:rsid w:val="00A070B6"/>
    <w:rsid w:val="00A146EB"/>
    <w:rsid w:val="00A1639A"/>
    <w:rsid w:val="00A202C5"/>
    <w:rsid w:val="00A215C9"/>
    <w:rsid w:val="00A25A45"/>
    <w:rsid w:val="00A3218E"/>
    <w:rsid w:val="00A32BC5"/>
    <w:rsid w:val="00A4056C"/>
    <w:rsid w:val="00A5271F"/>
    <w:rsid w:val="00A5364B"/>
    <w:rsid w:val="00A546DC"/>
    <w:rsid w:val="00A549D4"/>
    <w:rsid w:val="00A615E0"/>
    <w:rsid w:val="00A65E2B"/>
    <w:rsid w:val="00A74AA0"/>
    <w:rsid w:val="00A74C65"/>
    <w:rsid w:val="00A750B2"/>
    <w:rsid w:val="00A7546D"/>
    <w:rsid w:val="00A77100"/>
    <w:rsid w:val="00A83D73"/>
    <w:rsid w:val="00A97481"/>
    <w:rsid w:val="00AA42EB"/>
    <w:rsid w:val="00AA4D97"/>
    <w:rsid w:val="00AC2FA7"/>
    <w:rsid w:val="00AD17B7"/>
    <w:rsid w:val="00AE6AED"/>
    <w:rsid w:val="00AF1DF7"/>
    <w:rsid w:val="00AF41DF"/>
    <w:rsid w:val="00AF7365"/>
    <w:rsid w:val="00AF7477"/>
    <w:rsid w:val="00B04DDD"/>
    <w:rsid w:val="00B077D5"/>
    <w:rsid w:val="00B11C7C"/>
    <w:rsid w:val="00B158A2"/>
    <w:rsid w:val="00B200E4"/>
    <w:rsid w:val="00B27A3F"/>
    <w:rsid w:val="00B356BB"/>
    <w:rsid w:val="00B35B6D"/>
    <w:rsid w:val="00B35DC6"/>
    <w:rsid w:val="00B4312D"/>
    <w:rsid w:val="00B466DD"/>
    <w:rsid w:val="00B51699"/>
    <w:rsid w:val="00B53FAF"/>
    <w:rsid w:val="00B63153"/>
    <w:rsid w:val="00B6527D"/>
    <w:rsid w:val="00B70B17"/>
    <w:rsid w:val="00B71A72"/>
    <w:rsid w:val="00B73B3A"/>
    <w:rsid w:val="00B74507"/>
    <w:rsid w:val="00B747F3"/>
    <w:rsid w:val="00B75718"/>
    <w:rsid w:val="00B75E7E"/>
    <w:rsid w:val="00B81422"/>
    <w:rsid w:val="00B8524B"/>
    <w:rsid w:val="00B92005"/>
    <w:rsid w:val="00B93817"/>
    <w:rsid w:val="00B973C2"/>
    <w:rsid w:val="00BA0B96"/>
    <w:rsid w:val="00BB15DA"/>
    <w:rsid w:val="00BB340D"/>
    <w:rsid w:val="00BB4C96"/>
    <w:rsid w:val="00BB7641"/>
    <w:rsid w:val="00BC2A3A"/>
    <w:rsid w:val="00BC43AB"/>
    <w:rsid w:val="00BC64EC"/>
    <w:rsid w:val="00BD073D"/>
    <w:rsid w:val="00BD4EBC"/>
    <w:rsid w:val="00BF02E7"/>
    <w:rsid w:val="00BF3AFD"/>
    <w:rsid w:val="00C0727C"/>
    <w:rsid w:val="00C1606C"/>
    <w:rsid w:val="00C1720E"/>
    <w:rsid w:val="00C20EA5"/>
    <w:rsid w:val="00C20EEA"/>
    <w:rsid w:val="00C23180"/>
    <w:rsid w:val="00C33731"/>
    <w:rsid w:val="00C41492"/>
    <w:rsid w:val="00C4157B"/>
    <w:rsid w:val="00C53BFC"/>
    <w:rsid w:val="00C66B88"/>
    <w:rsid w:val="00C702B5"/>
    <w:rsid w:val="00C70389"/>
    <w:rsid w:val="00C7341F"/>
    <w:rsid w:val="00C86C02"/>
    <w:rsid w:val="00C904B6"/>
    <w:rsid w:val="00C96DF4"/>
    <w:rsid w:val="00C975AA"/>
    <w:rsid w:val="00C97C2E"/>
    <w:rsid w:val="00CA43E4"/>
    <w:rsid w:val="00CB08A0"/>
    <w:rsid w:val="00CB627A"/>
    <w:rsid w:val="00CC00BA"/>
    <w:rsid w:val="00CC051D"/>
    <w:rsid w:val="00CC1337"/>
    <w:rsid w:val="00CC48DF"/>
    <w:rsid w:val="00CC6AC4"/>
    <w:rsid w:val="00CD1091"/>
    <w:rsid w:val="00CD70E7"/>
    <w:rsid w:val="00CD7363"/>
    <w:rsid w:val="00CE0C1F"/>
    <w:rsid w:val="00CE455F"/>
    <w:rsid w:val="00CE4ADD"/>
    <w:rsid w:val="00CE687E"/>
    <w:rsid w:val="00CF0163"/>
    <w:rsid w:val="00CF0BF9"/>
    <w:rsid w:val="00CF5957"/>
    <w:rsid w:val="00CF7742"/>
    <w:rsid w:val="00D04BA2"/>
    <w:rsid w:val="00D05C6B"/>
    <w:rsid w:val="00D077B0"/>
    <w:rsid w:val="00D21234"/>
    <w:rsid w:val="00D22D42"/>
    <w:rsid w:val="00D2358B"/>
    <w:rsid w:val="00D34C12"/>
    <w:rsid w:val="00D36D8D"/>
    <w:rsid w:val="00D42378"/>
    <w:rsid w:val="00D44421"/>
    <w:rsid w:val="00D45711"/>
    <w:rsid w:val="00D500FC"/>
    <w:rsid w:val="00D51597"/>
    <w:rsid w:val="00D5326E"/>
    <w:rsid w:val="00D55867"/>
    <w:rsid w:val="00D634A3"/>
    <w:rsid w:val="00D6360E"/>
    <w:rsid w:val="00D72339"/>
    <w:rsid w:val="00D73E47"/>
    <w:rsid w:val="00D74ABB"/>
    <w:rsid w:val="00D8108D"/>
    <w:rsid w:val="00D816FA"/>
    <w:rsid w:val="00D83CB7"/>
    <w:rsid w:val="00D87371"/>
    <w:rsid w:val="00D97FA8"/>
    <w:rsid w:val="00DA47B7"/>
    <w:rsid w:val="00DA6FD3"/>
    <w:rsid w:val="00DC7B25"/>
    <w:rsid w:val="00DD6B73"/>
    <w:rsid w:val="00DE52CF"/>
    <w:rsid w:val="00DE6366"/>
    <w:rsid w:val="00DF0AB8"/>
    <w:rsid w:val="00DF31D9"/>
    <w:rsid w:val="00E06713"/>
    <w:rsid w:val="00E112C9"/>
    <w:rsid w:val="00E158F7"/>
    <w:rsid w:val="00E2087E"/>
    <w:rsid w:val="00E235B2"/>
    <w:rsid w:val="00E347F2"/>
    <w:rsid w:val="00E36818"/>
    <w:rsid w:val="00E47B97"/>
    <w:rsid w:val="00E47C25"/>
    <w:rsid w:val="00E5203C"/>
    <w:rsid w:val="00E61C65"/>
    <w:rsid w:val="00E6326D"/>
    <w:rsid w:val="00E634CC"/>
    <w:rsid w:val="00E65705"/>
    <w:rsid w:val="00E66ED5"/>
    <w:rsid w:val="00E77773"/>
    <w:rsid w:val="00E82F0E"/>
    <w:rsid w:val="00E96FAC"/>
    <w:rsid w:val="00EA129F"/>
    <w:rsid w:val="00EA1FCC"/>
    <w:rsid w:val="00EA7B88"/>
    <w:rsid w:val="00ED0582"/>
    <w:rsid w:val="00ED39A3"/>
    <w:rsid w:val="00EE31F6"/>
    <w:rsid w:val="00EE36DC"/>
    <w:rsid w:val="00F00E7D"/>
    <w:rsid w:val="00F044EE"/>
    <w:rsid w:val="00F15839"/>
    <w:rsid w:val="00F3320B"/>
    <w:rsid w:val="00F40E92"/>
    <w:rsid w:val="00F41947"/>
    <w:rsid w:val="00F435AA"/>
    <w:rsid w:val="00F54F30"/>
    <w:rsid w:val="00F76C6A"/>
    <w:rsid w:val="00F77F10"/>
    <w:rsid w:val="00F81B5E"/>
    <w:rsid w:val="00F83BF1"/>
    <w:rsid w:val="00F85C11"/>
    <w:rsid w:val="00F87749"/>
    <w:rsid w:val="00F90CB9"/>
    <w:rsid w:val="00F91F76"/>
    <w:rsid w:val="00F957C8"/>
    <w:rsid w:val="00F97373"/>
    <w:rsid w:val="00FA50A7"/>
    <w:rsid w:val="00FA6854"/>
    <w:rsid w:val="00FB064F"/>
    <w:rsid w:val="00FB144F"/>
    <w:rsid w:val="00FB159A"/>
    <w:rsid w:val="00FB4D77"/>
    <w:rsid w:val="00FB6E2B"/>
    <w:rsid w:val="00FC497D"/>
    <w:rsid w:val="00FD076B"/>
    <w:rsid w:val="00FF3782"/>
    <w:rsid w:val="00FF5F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6EE4B44"/>
  <w15:docId w15:val="{395B5302-CB83-46A1-8581-2E3B2F6F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Grid2">
    <w:name w:val="Table Grid2"/>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locked/>
    <w:rsid w:val="00C7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leTabelle"/>
    <w:next w:val="Tabellenraster"/>
    <w:uiPriority w:val="59"/>
    <w:rsid w:val="00C7341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B09DE"/>
    <w:rPr>
      <w:sz w:val="16"/>
      <w:szCs w:val="16"/>
    </w:rPr>
  </w:style>
  <w:style w:type="paragraph" w:styleId="Kommentartext">
    <w:name w:val="annotation text"/>
    <w:basedOn w:val="Standard"/>
    <w:link w:val="KommentartextZchn"/>
    <w:uiPriority w:val="99"/>
    <w:semiHidden/>
    <w:unhideWhenUsed/>
    <w:rsid w:val="004B09DE"/>
    <w:rPr>
      <w:sz w:val="20"/>
      <w:szCs w:val="20"/>
    </w:rPr>
  </w:style>
  <w:style w:type="character" w:customStyle="1" w:styleId="KommentartextZchn">
    <w:name w:val="Kommentartext Zchn"/>
    <w:basedOn w:val="Absatz-Standardschriftart"/>
    <w:link w:val="Kommentartext"/>
    <w:uiPriority w:val="99"/>
    <w:semiHidden/>
    <w:rsid w:val="004B09DE"/>
    <w:rPr>
      <w:sz w:val="20"/>
      <w:szCs w:val="20"/>
      <w:lang w:eastAsia="en-US"/>
    </w:rPr>
  </w:style>
  <w:style w:type="paragraph" w:styleId="Kommentarthema">
    <w:name w:val="annotation subject"/>
    <w:basedOn w:val="Kommentartext"/>
    <w:next w:val="Kommentartext"/>
    <w:link w:val="KommentarthemaZchn"/>
    <w:uiPriority w:val="99"/>
    <w:semiHidden/>
    <w:unhideWhenUsed/>
    <w:rsid w:val="004B09DE"/>
    <w:rPr>
      <w:b/>
      <w:bCs/>
    </w:rPr>
  </w:style>
  <w:style w:type="character" w:customStyle="1" w:styleId="KommentarthemaZchn">
    <w:name w:val="Kommentarthema Zchn"/>
    <w:basedOn w:val="KommentartextZchn"/>
    <w:link w:val="Kommentarthema"/>
    <w:uiPriority w:val="99"/>
    <w:semiHidden/>
    <w:rsid w:val="004B09D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ermanpropertypartners.de/e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en.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https://www.grossmann-berger.de/en/company/press-portfolio/terms-of-use-for-press-materia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en/company/press-portfolio"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hyperlink" Target="https://www.grossmann-berger.de/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en/well-informed/market-reports-and-price-trends" TargetMode="External"/><Relationship Id="rId14" Type="http://schemas.openxmlformats.org/officeDocument/2006/relationships/hyperlink" Target="https://www.grossmann-berger.de/en/privacy" TargetMode="External"/><Relationship Id="rId22" Type="http://schemas.openxmlformats.org/officeDocument/2006/relationships/fontTable" Target="fontTable.xml"/><Relationship Id="rId27"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EA470-5E2A-46F5-B9B4-A22774BE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 bi</dc:creator>
  <cp:lastModifiedBy>Katharina Koester</cp:lastModifiedBy>
  <cp:revision>2</cp:revision>
  <cp:lastPrinted>2023-01-04T07:14:00Z</cp:lastPrinted>
  <dcterms:created xsi:type="dcterms:W3CDTF">2023-01-04T10:20:00Z</dcterms:created>
  <dcterms:modified xsi:type="dcterms:W3CDTF">2023-01-04T10:20:00Z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-1847800222</vt:i4>
  </property>
</Properties>
</file>