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2CD1" w14:textId="4FEC6C46" w:rsidR="00C7341F" w:rsidRDefault="00C7341F" w:rsidP="000C770D">
      <w:pPr>
        <w:spacing w:after="0" w:line="360" w:lineRule="auto"/>
        <w:rPr>
          <w:rFonts w:ascii="Arial" w:hAnsi="Arial" w:cs="Arial"/>
          <w:b/>
        </w:rPr>
      </w:pPr>
      <w:r>
        <w:rPr>
          <w:rFonts w:ascii="Arial" w:hAnsi="Arial"/>
          <w:b/>
        </w:rPr>
        <w:t>Hamburg: Investment Market, 1st - 2nd quarters of 2022</w:t>
      </w:r>
    </w:p>
    <w:p w14:paraId="6919F2CA" w14:textId="3EDEE7FD" w:rsidR="00D04BA2" w:rsidRPr="00656B29" w:rsidRDefault="00802F29" w:rsidP="000C770D">
      <w:pPr>
        <w:spacing w:after="0" w:line="360" w:lineRule="auto"/>
        <w:rPr>
          <w:rFonts w:ascii="Arial" w:hAnsi="Arial" w:cs="Arial"/>
          <w:b/>
          <w:sz w:val="28"/>
          <w:szCs w:val="28"/>
        </w:rPr>
      </w:pPr>
      <w:r>
        <w:rPr>
          <w:rFonts w:ascii="Arial" w:hAnsi="Arial"/>
          <w:b/>
          <w:sz w:val="28"/>
          <w:szCs w:val="28"/>
        </w:rPr>
        <w:t xml:space="preserve">Downturn in transactions due to higher cost of borrowing </w:t>
      </w:r>
    </w:p>
    <w:p w14:paraId="23842E4F" w14:textId="77777777" w:rsidR="00590903" w:rsidRPr="0090748B" w:rsidRDefault="00590903" w:rsidP="00590903">
      <w:pPr>
        <w:spacing w:after="0" w:line="360" w:lineRule="auto"/>
        <w:jc w:val="both"/>
        <w:rPr>
          <w:rFonts w:ascii="Arial" w:hAnsi="Arial" w:cs="Arial"/>
          <w:b/>
          <w:sz w:val="20"/>
          <w:szCs w:val="20"/>
        </w:rPr>
      </w:pPr>
    </w:p>
    <w:p w14:paraId="20F1535C" w14:textId="77A6D389" w:rsidR="00D04BA2" w:rsidRPr="005E05E0" w:rsidRDefault="00C7341F" w:rsidP="000C770D">
      <w:pPr>
        <w:spacing w:after="0" w:line="360" w:lineRule="auto"/>
        <w:rPr>
          <w:rFonts w:ascii="Arial" w:hAnsi="Arial" w:cs="Arial"/>
          <w:sz w:val="20"/>
          <w:szCs w:val="20"/>
        </w:rPr>
      </w:pPr>
      <w:r>
        <w:rPr>
          <w:rFonts w:ascii="Arial" w:hAnsi="Arial"/>
          <w:b/>
          <w:sz w:val="20"/>
          <w:szCs w:val="20"/>
        </w:rPr>
        <w:t>Hamburg, 30 June 2022</w:t>
      </w:r>
      <w:r>
        <w:rPr>
          <w:rFonts w:ascii="Arial" w:hAnsi="Arial"/>
          <w:sz w:val="20"/>
          <w:szCs w:val="20"/>
        </w:rPr>
        <w:t xml:space="preserve"> – Higher borrowing costs are making themselves felt on the Hamburg market for investment in commercial real estate. Admittedly, the volume of transactions concluded in the 1st half of 2022 totalled some €2.3bn, thus rising year on year by 111 %. What seems to be a very good result is, however, largely due to the take-over of the huge </w:t>
      </w:r>
      <w:proofErr w:type="spellStart"/>
      <w:r>
        <w:rPr>
          <w:rFonts w:ascii="Arial" w:hAnsi="Arial"/>
          <w:sz w:val="20"/>
          <w:szCs w:val="20"/>
        </w:rPr>
        <w:t>alstria</w:t>
      </w:r>
      <w:proofErr w:type="spellEnd"/>
      <w:r>
        <w:rPr>
          <w:rFonts w:ascii="Arial" w:hAnsi="Arial"/>
          <w:sz w:val="20"/>
          <w:szCs w:val="20"/>
        </w:rPr>
        <w:t xml:space="preserve"> office portfolio, which Brookfield Properties acquired in the 1st quarter. Discounting this outlier transaction, at the end of the 2nd quarter the volume of transactions totalled some €840m, or 23 % below the rather modest figure seen in the previous year</w:t>
      </w:r>
      <w:r w:rsidR="00B94727">
        <w:rPr>
          <w:rFonts w:ascii="Arial" w:hAnsi="Arial"/>
          <w:sz w:val="20"/>
          <w:szCs w:val="20"/>
        </w:rPr>
        <w:t>,</w:t>
      </w:r>
      <w:r>
        <w:rPr>
          <w:rFonts w:ascii="Arial" w:hAnsi="Arial"/>
          <w:sz w:val="20"/>
          <w:szCs w:val="20"/>
        </w:rPr>
        <w:t xml:space="preserve"> and well below the ten-year average of €1.51bn. By the close of the 2nd quarter Grossmann &amp; Berger, a member of German Property Partners (GPP), had registered a mere 34 transactions. Managing director </w:t>
      </w:r>
      <w:r>
        <w:rPr>
          <w:rFonts w:ascii="Arial" w:hAnsi="Arial"/>
          <w:b/>
          <w:sz w:val="20"/>
          <w:szCs w:val="20"/>
        </w:rPr>
        <w:t>Sandra Ludwig</w:t>
      </w:r>
      <w:r>
        <w:rPr>
          <w:rFonts w:ascii="Arial" w:hAnsi="Arial"/>
          <w:sz w:val="20"/>
          <w:szCs w:val="20"/>
        </w:rPr>
        <w:t xml:space="preserve"> says, </w:t>
      </w:r>
      <w:r w:rsidR="00B94727">
        <w:rPr>
          <w:rFonts w:ascii="Arial" w:hAnsi="Arial"/>
          <w:sz w:val="20"/>
          <w:szCs w:val="20"/>
        </w:rPr>
        <w:t>“</w:t>
      </w:r>
      <w:r>
        <w:rPr>
          <w:rFonts w:ascii="Arial" w:hAnsi="Arial"/>
          <w:i/>
          <w:sz w:val="20"/>
          <w:szCs w:val="20"/>
        </w:rPr>
        <w:t>Although investors are less willing to commit due to higher and extremely volatile interest rates, many would-be sellers are not yet prepared to accept that, consequently, they will have to reduce the asking price. This means that transactions, especially big-ticket trades, are placed on hold for the time being.”</w:t>
      </w:r>
      <w:r>
        <w:rPr>
          <w:rFonts w:ascii="Arial" w:hAnsi="Arial"/>
          <w:sz w:val="20"/>
          <w:szCs w:val="20"/>
        </w:rPr>
        <w:t xml:space="preserve"> Investors with the means to buy with very little leverage are at an advantage. Despite this, </w:t>
      </w:r>
      <w:r>
        <w:rPr>
          <w:rFonts w:ascii="Arial" w:hAnsi="Arial"/>
          <w:b/>
          <w:sz w:val="20"/>
          <w:szCs w:val="20"/>
        </w:rPr>
        <w:t>Ludwig</w:t>
      </w:r>
      <w:r>
        <w:rPr>
          <w:rFonts w:ascii="Arial" w:hAnsi="Arial"/>
          <w:sz w:val="20"/>
          <w:szCs w:val="20"/>
        </w:rPr>
        <w:t xml:space="preserve"> looks ahead to the 2nd half year with optimism; </w:t>
      </w:r>
      <w:r>
        <w:rPr>
          <w:rFonts w:ascii="Arial" w:hAnsi="Arial"/>
          <w:i/>
          <w:sz w:val="20"/>
          <w:szCs w:val="20"/>
        </w:rPr>
        <w:t>“There is capital on the market that needs to be invested. For that reason I expect to see trading revive by the fourth quarter at the latest.”</w:t>
      </w:r>
    </w:p>
    <w:p w14:paraId="6517AEE9" w14:textId="77777777" w:rsidR="00ED39A3" w:rsidRDefault="00ED39A3"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9AE52B6" w14:textId="321D7EA8" w:rsidR="00710607" w:rsidRDefault="005E05E0" w:rsidP="006E4C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Office real estate was the predominant </w:t>
      </w:r>
      <w:r>
        <w:rPr>
          <w:rFonts w:ascii="Arial" w:hAnsi="Arial"/>
          <w:sz w:val="20"/>
          <w:szCs w:val="20"/>
          <w:u w:val="single"/>
        </w:rPr>
        <w:t>class of asset</w:t>
      </w:r>
      <w:r>
        <w:rPr>
          <w:rFonts w:ascii="Arial" w:hAnsi="Arial"/>
          <w:sz w:val="20"/>
          <w:szCs w:val="20"/>
        </w:rPr>
        <w:t xml:space="preserve"> in the first two quarters of 2022, accounting for 79 % of total trading. Second and third places went to retail properties (10 %) and commercial building land (4 %).</w:t>
      </w:r>
    </w:p>
    <w:p w14:paraId="079CA29C" w14:textId="0FFFDC2D" w:rsidR="008C1D82" w:rsidRDefault="009D2D7E" w:rsidP="008C1D82">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Apart from the </w:t>
      </w:r>
      <w:proofErr w:type="spellStart"/>
      <w:r>
        <w:rPr>
          <w:rFonts w:ascii="Arial" w:hAnsi="Arial"/>
          <w:sz w:val="20"/>
          <w:szCs w:val="20"/>
        </w:rPr>
        <w:t>alstria</w:t>
      </w:r>
      <w:proofErr w:type="spellEnd"/>
      <w:r>
        <w:rPr>
          <w:rFonts w:ascii="Arial" w:hAnsi="Arial"/>
          <w:sz w:val="20"/>
          <w:szCs w:val="20"/>
        </w:rPr>
        <w:t xml:space="preserve"> portfolio, only two properties traded for </w:t>
      </w:r>
      <w:r>
        <w:rPr>
          <w:rFonts w:ascii="Arial" w:hAnsi="Arial"/>
          <w:sz w:val="20"/>
          <w:szCs w:val="20"/>
          <w:u w:val="single"/>
        </w:rPr>
        <w:t>more than €100m</w:t>
      </w:r>
      <w:r>
        <w:rPr>
          <w:rFonts w:ascii="Arial" w:hAnsi="Arial"/>
          <w:sz w:val="20"/>
          <w:szCs w:val="20"/>
        </w:rPr>
        <w:t>, namely the “</w:t>
      </w:r>
      <w:proofErr w:type="spellStart"/>
      <w:r>
        <w:rPr>
          <w:rFonts w:ascii="Arial" w:hAnsi="Arial"/>
          <w:sz w:val="20"/>
          <w:szCs w:val="20"/>
        </w:rPr>
        <w:t>Klöpperhaus</w:t>
      </w:r>
      <w:proofErr w:type="spellEnd"/>
      <w:r>
        <w:rPr>
          <w:rFonts w:ascii="Arial" w:hAnsi="Arial"/>
          <w:sz w:val="20"/>
          <w:szCs w:val="20"/>
        </w:rPr>
        <w:t xml:space="preserve">” at </w:t>
      </w:r>
      <w:proofErr w:type="spellStart"/>
      <w:r>
        <w:rPr>
          <w:rFonts w:ascii="Arial" w:hAnsi="Arial"/>
          <w:sz w:val="20"/>
          <w:szCs w:val="20"/>
        </w:rPr>
        <w:t>Mönckebergstrasse</w:t>
      </w:r>
      <w:proofErr w:type="spellEnd"/>
      <w:r>
        <w:rPr>
          <w:rFonts w:ascii="Arial" w:hAnsi="Arial"/>
          <w:sz w:val="20"/>
          <w:szCs w:val="20"/>
        </w:rPr>
        <w:t xml:space="preserve"> 3 and the “EDGE </w:t>
      </w:r>
      <w:proofErr w:type="spellStart"/>
      <w:r>
        <w:rPr>
          <w:rFonts w:ascii="Arial" w:hAnsi="Arial"/>
          <w:sz w:val="20"/>
          <w:szCs w:val="20"/>
        </w:rPr>
        <w:t>ElbSide</w:t>
      </w:r>
      <w:proofErr w:type="spellEnd"/>
      <w:r>
        <w:rPr>
          <w:rFonts w:ascii="Arial" w:hAnsi="Arial"/>
          <w:sz w:val="20"/>
          <w:szCs w:val="20"/>
        </w:rPr>
        <w:t xml:space="preserve">.” </w:t>
      </w:r>
    </w:p>
    <w:p w14:paraId="23F5C5CF" w14:textId="7333347D" w:rsidR="00DF0408" w:rsidRDefault="00DF0408" w:rsidP="008C1D82">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Due to the </w:t>
      </w:r>
      <w:proofErr w:type="spellStart"/>
      <w:r>
        <w:rPr>
          <w:rFonts w:ascii="Arial" w:hAnsi="Arial"/>
          <w:sz w:val="20"/>
          <w:szCs w:val="20"/>
        </w:rPr>
        <w:t>alstria</w:t>
      </w:r>
      <w:proofErr w:type="spellEnd"/>
      <w:r>
        <w:rPr>
          <w:rFonts w:ascii="Arial" w:hAnsi="Arial"/>
          <w:sz w:val="20"/>
          <w:szCs w:val="20"/>
        </w:rPr>
        <w:t xml:space="preserve"> trade, </w:t>
      </w:r>
      <w:r>
        <w:rPr>
          <w:rFonts w:ascii="Arial" w:hAnsi="Arial"/>
          <w:sz w:val="20"/>
          <w:szCs w:val="20"/>
          <w:u w:val="single"/>
        </w:rPr>
        <w:t>portfolio sales</w:t>
      </w:r>
      <w:r>
        <w:rPr>
          <w:rFonts w:ascii="Arial" w:hAnsi="Arial"/>
          <w:sz w:val="20"/>
          <w:szCs w:val="20"/>
        </w:rPr>
        <w:t xml:space="preserve"> accounted for 69 % of the total. Ignoring </w:t>
      </w:r>
      <w:proofErr w:type="spellStart"/>
      <w:r>
        <w:rPr>
          <w:rFonts w:ascii="Arial" w:hAnsi="Arial"/>
          <w:sz w:val="20"/>
          <w:szCs w:val="20"/>
        </w:rPr>
        <w:t>alstria</w:t>
      </w:r>
      <w:proofErr w:type="spellEnd"/>
      <w:r>
        <w:rPr>
          <w:rFonts w:ascii="Arial" w:hAnsi="Arial"/>
          <w:sz w:val="20"/>
          <w:szCs w:val="20"/>
        </w:rPr>
        <w:t xml:space="preserve">, the proportion of portfolios falls to a mere 7 % of the trading volume. </w:t>
      </w:r>
    </w:p>
    <w:p w14:paraId="1703F1B6" w14:textId="7BE24764" w:rsidR="005E35CD" w:rsidRPr="005E35CD" w:rsidRDefault="00537E0A" w:rsidP="006E4CF0">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Accounting for some 69 % of the volume traded, fund managers were the biggest single </w:t>
      </w:r>
      <w:r>
        <w:rPr>
          <w:rFonts w:ascii="Arial" w:hAnsi="Arial"/>
          <w:sz w:val="20"/>
          <w:szCs w:val="20"/>
          <w:u w:val="single"/>
        </w:rPr>
        <w:t>group of buyers</w:t>
      </w:r>
      <w:r>
        <w:rPr>
          <w:rFonts w:ascii="Arial" w:hAnsi="Arial"/>
          <w:sz w:val="20"/>
          <w:szCs w:val="20"/>
        </w:rPr>
        <w:t xml:space="preserve">. Their strong presence on the market is attributable to the 1st quarter outlier transaction mentioned previously. If this trade is factored out, private equity and opportunity funds formed the biggest group of buyers, with 29 % of the market.  </w:t>
      </w:r>
    </w:p>
    <w:p w14:paraId="34C7463F" w14:textId="560E333E" w:rsidR="001B3575" w:rsidRPr="00537E0A" w:rsidRDefault="00537E0A" w:rsidP="006E4CF0">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The biggest group of </w:t>
      </w:r>
      <w:r>
        <w:rPr>
          <w:rFonts w:ascii="Arial" w:hAnsi="Arial"/>
          <w:sz w:val="20"/>
          <w:szCs w:val="20"/>
          <w:u w:val="single"/>
        </w:rPr>
        <w:t>sellers</w:t>
      </w:r>
      <w:r>
        <w:rPr>
          <w:rFonts w:ascii="Arial" w:hAnsi="Arial"/>
          <w:sz w:val="20"/>
          <w:szCs w:val="20"/>
        </w:rPr>
        <w:t xml:space="preserve"> consisted of listed real estate investment AGs/REITs; their 69 % share of the market </w:t>
      </w:r>
      <w:r w:rsidR="00B94727">
        <w:rPr>
          <w:rFonts w:ascii="Arial" w:hAnsi="Arial"/>
          <w:sz w:val="20"/>
          <w:szCs w:val="20"/>
        </w:rPr>
        <w:t xml:space="preserve">is </w:t>
      </w:r>
      <w:r>
        <w:rPr>
          <w:rFonts w:ascii="Arial" w:hAnsi="Arial"/>
          <w:sz w:val="20"/>
          <w:szCs w:val="20"/>
        </w:rPr>
        <w:t xml:space="preserve">likewise a result of the </w:t>
      </w:r>
      <w:proofErr w:type="spellStart"/>
      <w:r>
        <w:rPr>
          <w:rFonts w:ascii="Arial" w:hAnsi="Arial"/>
          <w:sz w:val="20"/>
          <w:szCs w:val="20"/>
        </w:rPr>
        <w:t>alstria</w:t>
      </w:r>
      <w:proofErr w:type="spellEnd"/>
      <w:r>
        <w:rPr>
          <w:rFonts w:ascii="Arial" w:hAnsi="Arial"/>
          <w:sz w:val="20"/>
          <w:szCs w:val="20"/>
        </w:rPr>
        <w:t xml:space="preserve"> trade. Excluding this outlier trade, insurance companies, open-ended property mutual funds and developers were the major sellers of real estate. </w:t>
      </w:r>
    </w:p>
    <w:p w14:paraId="00984680" w14:textId="5C171461" w:rsidR="00537E0A" w:rsidRPr="008C1D82" w:rsidRDefault="00537E0A" w:rsidP="006E4CF0">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At 79 %, the share of </w:t>
      </w:r>
      <w:r>
        <w:rPr>
          <w:rFonts w:ascii="Arial" w:hAnsi="Arial"/>
          <w:sz w:val="20"/>
          <w:szCs w:val="20"/>
          <w:u w:val="single"/>
        </w:rPr>
        <w:t>international buyers</w:t>
      </w:r>
      <w:r>
        <w:rPr>
          <w:rFonts w:ascii="Arial" w:hAnsi="Arial"/>
          <w:sz w:val="20"/>
          <w:szCs w:val="20"/>
        </w:rPr>
        <w:t xml:space="preserve"> was exceptionally high. Without the </w:t>
      </w:r>
      <w:proofErr w:type="spellStart"/>
      <w:r>
        <w:rPr>
          <w:rFonts w:ascii="Arial" w:hAnsi="Arial"/>
          <w:sz w:val="20"/>
          <w:szCs w:val="20"/>
        </w:rPr>
        <w:t>alstria</w:t>
      </w:r>
      <w:proofErr w:type="spellEnd"/>
      <w:r>
        <w:rPr>
          <w:rFonts w:ascii="Arial" w:hAnsi="Arial"/>
          <w:sz w:val="20"/>
          <w:szCs w:val="20"/>
        </w:rPr>
        <w:t xml:space="preserve"> transaction, this figure drops to 36 %. </w:t>
      </w:r>
    </w:p>
    <w:p w14:paraId="5BDEA611" w14:textId="384076E7" w:rsidR="00C7341F" w:rsidRPr="0093153B" w:rsidRDefault="008C1D82" w:rsidP="00C7341F">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lastRenderedPageBreak/>
        <w:t xml:space="preserve">Year on year the </w:t>
      </w:r>
      <w:r>
        <w:rPr>
          <w:rFonts w:ascii="Arial" w:hAnsi="Arial"/>
          <w:sz w:val="20"/>
          <w:szCs w:val="20"/>
          <w:u w:val="single"/>
        </w:rPr>
        <w:t>prime yields</w:t>
      </w:r>
      <w:r>
        <w:rPr>
          <w:rFonts w:ascii="Arial" w:hAnsi="Arial"/>
          <w:sz w:val="20"/>
          <w:szCs w:val="20"/>
        </w:rPr>
        <w:t xml:space="preserve"> on commercial buildings (2.7 %) and offices (2.6%) were unchanged, whereas on industrial and logistics properties the figure fell by 0.5 percentage points to 3.3 %. During the course of the year yields are expected to rise due to higher interest rates.</w:t>
      </w:r>
    </w:p>
    <w:p w14:paraId="0795C973" w14:textId="01D87657" w:rsidR="00C7341F" w:rsidRDefault="00C7341F" w:rsidP="00C7341F">
      <w:pPr>
        <w:spacing w:after="0" w:line="360" w:lineRule="auto"/>
        <w:rPr>
          <w:rFonts w:ascii="Arial" w:hAnsi="Arial" w:cs="Arial"/>
          <w:sz w:val="20"/>
          <w:szCs w:val="20"/>
        </w:rPr>
      </w:pP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77777777" w:rsidR="00C7341F" w:rsidRPr="004712BA" w:rsidRDefault="00C7341F" w:rsidP="00927886">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2022</w:t>
            </w:r>
          </w:p>
        </w:tc>
        <w:tc>
          <w:tcPr>
            <w:tcW w:w="993" w:type="dxa"/>
            <w:shd w:val="clear" w:color="auto" w:fill="000000" w:themeFill="text1"/>
          </w:tcPr>
          <w:p w14:paraId="65EC24BE" w14:textId="2C43490E"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Q1 -2</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4B0FBC60" w:rsidR="00C7341F" w:rsidRPr="00E771E0" w:rsidRDefault="00634577" w:rsidP="00927886">
            <w:pPr>
              <w:widowControl w:val="0"/>
              <w:spacing w:before="40" w:after="40"/>
              <w:jc w:val="right"/>
              <w:rPr>
                <w:rFonts w:ascii="Arial" w:hAnsi="Arial" w:cs="Arial"/>
                <w:sz w:val="18"/>
                <w:szCs w:val="16"/>
              </w:rPr>
            </w:pPr>
            <w:r>
              <w:rPr>
                <w:rFonts w:ascii="Arial" w:hAnsi="Arial"/>
                <w:sz w:val="18"/>
                <w:szCs w:val="16"/>
              </w:rPr>
              <w:t>2,300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5F375A48" w:rsidR="00C7341F" w:rsidRPr="00E771E0" w:rsidRDefault="001B3575" w:rsidP="00634577">
            <w:pPr>
              <w:widowControl w:val="0"/>
              <w:spacing w:before="40" w:after="40"/>
              <w:jc w:val="right"/>
              <w:rPr>
                <w:rFonts w:ascii="Arial" w:hAnsi="Arial" w:cs="Arial"/>
                <w:sz w:val="18"/>
                <w:szCs w:val="16"/>
              </w:rPr>
            </w:pPr>
            <w:r>
              <w:rPr>
                <w:rFonts w:ascii="Arial" w:hAnsi="Arial"/>
                <w:sz w:val="18"/>
                <w:szCs w:val="16"/>
              </w:rPr>
              <w:t>+111</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29F235A4" w:rsidR="00C7341F" w:rsidRPr="00E771E0" w:rsidRDefault="00634577" w:rsidP="00927886">
            <w:pPr>
              <w:widowControl w:val="0"/>
              <w:spacing w:before="40" w:after="40"/>
              <w:jc w:val="right"/>
              <w:rPr>
                <w:rFonts w:ascii="Arial" w:hAnsi="Arial" w:cs="Arial"/>
                <w:sz w:val="18"/>
                <w:szCs w:val="16"/>
              </w:rPr>
            </w:pPr>
            <w:r>
              <w:rPr>
                <w:rFonts w:ascii="Arial" w:hAnsi="Arial"/>
                <w:sz w:val="18"/>
                <w:szCs w:val="16"/>
              </w:rPr>
              <w:t>79</w:t>
            </w:r>
          </w:p>
        </w:tc>
      </w:tr>
      <w:tr w:rsidR="00C7341F" w:rsidRPr="006F49D0" w14:paraId="7A04E1EC" w14:textId="77777777" w:rsidTr="00CF0163">
        <w:trPr>
          <w:trHeight w:val="283"/>
        </w:trPr>
        <w:tc>
          <w:tcPr>
            <w:tcW w:w="3964" w:type="dxa"/>
          </w:tcPr>
          <w:p w14:paraId="7D123B83"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2.60</w:t>
            </w:r>
          </w:p>
        </w:tc>
      </w:tr>
      <w:tr w:rsidR="00C7341F" w14:paraId="412D1554" w14:textId="77777777" w:rsidTr="00CF0163">
        <w:trPr>
          <w:trHeight w:val="283"/>
        </w:trPr>
        <w:tc>
          <w:tcPr>
            <w:tcW w:w="3964" w:type="dxa"/>
          </w:tcPr>
          <w:p w14:paraId="285C2069"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0CFA9464" w:rsidR="00C7341F" w:rsidRPr="00E771E0" w:rsidRDefault="00634577" w:rsidP="00927886">
            <w:pPr>
              <w:widowControl w:val="0"/>
              <w:spacing w:before="40" w:after="40"/>
              <w:jc w:val="right"/>
              <w:rPr>
                <w:rFonts w:ascii="Arial" w:hAnsi="Arial" w:cs="Arial"/>
                <w:sz w:val="18"/>
                <w:szCs w:val="16"/>
              </w:rPr>
            </w:pPr>
            <w:r>
              <w:rPr>
                <w:rFonts w:ascii="Arial" w:hAnsi="Arial"/>
                <w:sz w:val="18"/>
                <w:szCs w:val="16"/>
              </w:rPr>
              <w:t>±0.00</w:t>
            </w:r>
          </w:p>
        </w:tc>
      </w:tr>
      <w:tr w:rsidR="00C7341F" w:rsidRPr="006F49D0" w14:paraId="1F3F0D4C" w14:textId="77777777" w:rsidTr="00CF0163">
        <w:trPr>
          <w:trHeight w:val="283"/>
        </w:trPr>
        <w:tc>
          <w:tcPr>
            <w:tcW w:w="3964" w:type="dxa"/>
          </w:tcPr>
          <w:p w14:paraId="7998213C"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2.70</w:t>
            </w:r>
          </w:p>
        </w:tc>
      </w:tr>
      <w:tr w:rsidR="00C7341F" w14:paraId="7E04E2D1" w14:textId="77777777" w:rsidTr="00CF0163">
        <w:trPr>
          <w:trHeight w:val="283"/>
        </w:trPr>
        <w:tc>
          <w:tcPr>
            <w:tcW w:w="3964" w:type="dxa"/>
          </w:tcPr>
          <w:p w14:paraId="50EDD51B"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±0.00</w:t>
            </w:r>
          </w:p>
        </w:tc>
      </w:tr>
      <w:tr w:rsidR="00C7341F" w:rsidRPr="006F49D0" w14:paraId="661023F9" w14:textId="77777777" w:rsidTr="00CF0163">
        <w:trPr>
          <w:trHeight w:val="283"/>
        </w:trPr>
        <w:tc>
          <w:tcPr>
            <w:tcW w:w="3964" w:type="dxa"/>
          </w:tcPr>
          <w:p w14:paraId="1C7E799E"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3.30</w:t>
            </w:r>
          </w:p>
        </w:tc>
      </w:tr>
      <w:tr w:rsidR="00C7341F" w14:paraId="63C42E15" w14:textId="77777777" w:rsidTr="00CF0163">
        <w:trPr>
          <w:trHeight w:val="283"/>
        </w:trPr>
        <w:tc>
          <w:tcPr>
            <w:tcW w:w="3964" w:type="dxa"/>
          </w:tcPr>
          <w:p w14:paraId="1440EEA3"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40E8A875" w:rsidR="00C7341F" w:rsidRPr="00F67E03" w:rsidRDefault="001B3575" w:rsidP="001914C9">
            <w:pPr>
              <w:widowControl w:val="0"/>
              <w:spacing w:before="40" w:after="40"/>
              <w:jc w:val="right"/>
              <w:rPr>
                <w:rFonts w:ascii="Arial" w:hAnsi="Arial" w:cs="Arial"/>
                <w:sz w:val="18"/>
                <w:szCs w:val="16"/>
              </w:rPr>
            </w:pPr>
            <w:r>
              <w:rPr>
                <w:rFonts w:ascii="Arial" w:hAnsi="Arial"/>
                <w:sz w:val="18"/>
                <w:szCs w:val="16"/>
              </w:rPr>
              <w:t>-0.50</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07B5C3AE" w:rsidR="00C7341F" w:rsidRPr="00F67E03" w:rsidRDefault="001914C9" w:rsidP="00BF0444">
            <w:pPr>
              <w:widowControl w:val="0"/>
              <w:spacing w:before="40" w:after="40"/>
              <w:jc w:val="right"/>
              <w:rPr>
                <w:rFonts w:ascii="Arial" w:hAnsi="Arial" w:cs="Arial"/>
                <w:sz w:val="18"/>
                <w:szCs w:val="16"/>
              </w:rPr>
            </w:pPr>
            <w:r>
              <w:rPr>
                <w:rFonts w:ascii="Arial" w:hAnsi="Arial"/>
                <w:sz w:val="18"/>
                <w:szCs w:val="16"/>
              </w:rPr>
              <w:t>79</w:t>
            </w:r>
          </w:p>
        </w:tc>
      </w:tr>
    </w:tbl>
    <w:p w14:paraId="57438FD8" w14:textId="4207FB9C" w:rsidR="00C7341F" w:rsidRDefault="00EA4A43" w:rsidP="0090748B">
      <w:pPr>
        <w:spacing w:after="0" w:line="360" w:lineRule="auto"/>
        <w:textAlignment w:val="baseline"/>
        <w:rPr>
          <w:rFonts w:ascii="Arial" w:eastAsia="Arial" w:hAnsi="Arial" w:cs="Arial"/>
          <w:color w:val="000000" w:themeColor="text1"/>
          <w:sz w:val="20"/>
          <w:szCs w:val="20"/>
        </w:rPr>
      </w:pPr>
      <w:r>
        <w:rPr>
          <w:rFonts w:ascii="Arial" w:eastAsia="Arial" w:hAnsi="Arial" w:cs="Arial"/>
          <w:noProof/>
          <w:color w:val="000000" w:themeColor="text1"/>
          <w:sz w:val="20"/>
          <w:szCs w:val="20"/>
          <w:lang w:val="de-DE" w:eastAsia="de-DE"/>
        </w:rPr>
        <w:drawing>
          <wp:inline distT="0" distB="0" distL="0" distR="0" wp14:anchorId="474C792C" wp14:editId="3348B281">
            <wp:extent cx="2719449" cy="1961026"/>
            <wp:effectExtent l="19050" t="19050" r="24130" b="203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V_HH_2022Q2_PM_en.jpg"/>
                    <pic:cNvPicPr/>
                  </pic:nvPicPr>
                  <pic:blipFill>
                    <a:blip r:embed="rId8">
                      <a:extLst>
                        <a:ext uri="{28A0092B-C50C-407E-A947-70E740481C1C}">
                          <a14:useLocalDpi xmlns:a14="http://schemas.microsoft.com/office/drawing/2010/main" val="0"/>
                        </a:ext>
                      </a:extLst>
                    </a:blip>
                    <a:stretch>
                      <a:fillRect/>
                    </a:stretch>
                  </pic:blipFill>
                  <pic:spPr>
                    <a:xfrm>
                      <a:off x="0" y="0"/>
                      <a:ext cx="2766164" cy="1994712"/>
                    </a:xfrm>
                    <a:prstGeom prst="rect">
                      <a:avLst/>
                    </a:prstGeom>
                    <a:ln w="6350">
                      <a:solidFill>
                        <a:schemeClr val="tx1"/>
                      </a:solidFill>
                    </a:ln>
                  </pic:spPr>
                </pic:pic>
              </a:graphicData>
            </a:graphic>
          </wp:inline>
        </w:drawing>
      </w:r>
    </w:p>
    <w:p w14:paraId="55F22503" w14:textId="2F69D87E" w:rsidR="00C7341F" w:rsidRDefault="00C7341F" w:rsidP="0090748B">
      <w:pPr>
        <w:spacing w:after="0" w:line="360" w:lineRule="auto"/>
        <w:textAlignment w:val="baseline"/>
        <w:rPr>
          <w:rFonts w:ascii="Arial" w:eastAsia="Arial" w:hAnsi="Arial" w:cs="Arial"/>
          <w:color w:val="000000" w:themeColor="text1"/>
          <w:sz w:val="20"/>
          <w:szCs w:val="20"/>
        </w:rPr>
      </w:pPr>
    </w:p>
    <w:p w14:paraId="4CD06259" w14:textId="5637C583" w:rsidR="00387D3B" w:rsidRDefault="00387D3B" w:rsidP="00C7341F">
      <w:pPr>
        <w:rPr>
          <w:rFonts w:ascii="Arial" w:hAnsi="Arial" w:cs="Arial"/>
          <w:b/>
          <w:sz w:val="20"/>
          <w:szCs w:val="20"/>
        </w:rPr>
      </w:pPr>
      <w:bookmarkStart w:id="0" w:name="_GoBack"/>
      <w:bookmarkEnd w:id="0"/>
    </w:p>
    <w:p w14:paraId="4582D23C" w14:textId="711D151C" w:rsidR="00C7341F" w:rsidRPr="00A0600B" w:rsidRDefault="00C7341F" w:rsidP="00C7341F">
      <w:pPr>
        <w:rPr>
          <w:rFonts w:ascii="Arial" w:hAnsi="Arial" w:cs="Arial"/>
          <w:b/>
          <w:sz w:val="20"/>
          <w:szCs w:val="20"/>
        </w:rPr>
      </w:pPr>
      <w:r>
        <w:rPr>
          <w:rFonts w:ascii="Arial" w:hAnsi="Arial"/>
          <w:b/>
          <w:sz w:val="20"/>
          <w:szCs w:val="20"/>
        </w:rPr>
        <w:t>Selected top transactions | investments in Hamburg | 1st + 2nd quarters of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547"/>
        <w:gridCol w:w="1276"/>
        <w:gridCol w:w="1275"/>
        <w:gridCol w:w="1701"/>
        <w:gridCol w:w="1843"/>
        <w:gridCol w:w="1134"/>
      </w:tblGrid>
      <w:tr w:rsidR="00C7341F" w:rsidRPr="006F49D0" w14:paraId="4F21D6DF" w14:textId="77777777" w:rsidTr="00DC1935">
        <w:trPr>
          <w:trHeight w:val="567"/>
        </w:trPr>
        <w:tc>
          <w:tcPr>
            <w:tcW w:w="2547" w:type="dxa"/>
            <w:shd w:val="clear" w:color="auto" w:fill="000000" w:themeFill="text1"/>
            <w:vAlign w:val="center"/>
          </w:tcPr>
          <w:p w14:paraId="46C82216"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276" w:type="dxa"/>
            <w:shd w:val="clear" w:color="auto" w:fill="000000" w:themeFill="text1"/>
          </w:tcPr>
          <w:p w14:paraId="070FC834" w14:textId="62260587"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275" w:type="dxa"/>
            <w:shd w:val="clear" w:color="auto" w:fill="000000" w:themeFill="text1"/>
          </w:tcPr>
          <w:p w14:paraId="03801D01" w14:textId="1EDECB39"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701" w:type="dxa"/>
            <w:shd w:val="clear" w:color="auto" w:fill="000000" w:themeFill="text1"/>
            <w:vAlign w:val="center"/>
          </w:tcPr>
          <w:p w14:paraId="64E565FC"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843" w:type="dxa"/>
            <w:shd w:val="clear" w:color="auto" w:fill="000000" w:themeFill="text1"/>
            <w:vAlign w:val="center"/>
          </w:tcPr>
          <w:p w14:paraId="4F865E58"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DE4216" w14:textId="39935B56"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C7341F" w:rsidRPr="00F2414C" w14:paraId="7AC1D298" w14:textId="77777777" w:rsidTr="00DC1935">
        <w:trPr>
          <w:trHeight w:val="567"/>
        </w:trPr>
        <w:tc>
          <w:tcPr>
            <w:tcW w:w="2547" w:type="dxa"/>
            <w:shd w:val="clear" w:color="auto" w:fill="FFFFFF" w:themeFill="background1"/>
            <w:vAlign w:val="center"/>
          </w:tcPr>
          <w:p w14:paraId="603D13DC" w14:textId="732BA045" w:rsidR="00C7341F" w:rsidRPr="00CA462D" w:rsidRDefault="007A4FCB" w:rsidP="00DE6366">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portfolio</w:t>
            </w:r>
          </w:p>
        </w:tc>
        <w:tc>
          <w:tcPr>
            <w:tcW w:w="1276" w:type="dxa"/>
            <w:shd w:val="clear" w:color="auto" w:fill="FFFFFF" w:themeFill="background1"/>
            <w:vAlign w:val="center"/>
          </w:tcPr>
          <w:p w14:paraId="222FB983" w14:textId="2FBD4EE3" w:rsidR="00C7341F" w:rsidRPr="00CA462D" w:rsidRDefault="007A4FCB" w:rsidP="007A4FCB">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
        </w:tc>
        <w:tc>
          <w:tcPr>
            <w:tcW w:w="1275" w:type="dxa"/>
            <w:shd w:val="clear" w:color="auto" w:fill="FFFFFF" w:themeFill="background1"/>
            <w:vAlign w:val="center"/>
          </w:tcPr>
          <w:p w14:paraId="1BECA139" w14:textId="3DDA50ED"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FFFFFF" w:themeFill="background1"/>
            <w:vAlign w:val="center"/>
          </w:tcPr>
          <w:p w14:paraId="5FF1B7E2" w14:textId="3572C4F6"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Brookfield Properties</w:t>
            </w:r>
          </w:p>
        </w:tc>
        <w:tc>
          <w:tcPr>
            <w:tcW w:w="1843" w:type="dxa"/>
            <w:shd w:val="clear" w:color="auto" w:fill="FFFFFF" w:themeFill="background1"/>
            <w:vAlign w:val="center"/>
          </w:tcPr>
          <w:p w14:paraId="5728516F" w14:textId="292A0E24" w:rsidR="00C7341F" w:rsidRPr="00CA462D" w:rsidRDefault="00712CE1" w:rsidP="0012484F">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REIT </w:t>
            </w:r>
          </w:p>
        </w:tc>
        <w:tc>
          <w:tcPr>
            <w:tcW w:w="1134" w:type="dxa"/>
            <w:shd w:val="clear" w:color="auto" w:fill="FFFFFF" w:themeFill="background1"/>
            <w:vAlign w:val="center"/>
          </w:tcPr>
          <w:p w14:paraId="40C90496" w14:textId="60755643" w:rsidR="00C7341F" w:rsidRPr="00CA462D" w:rsidRDefault="00712CE1" w:rsidP="00E347F2">
            <w:pPr>
              <w:widowControl w:val="0"/>
              <w:spacing w:after="0"/>
              <w:jc w:val="right"/>
              <w:rPr>
                <w:rFonts w:ascii="Arial" w:hAnsi="Arial" w:cs="Arial"/>
                <w:color w:val="000000" w:themeColor="text1"/>
                <w:sz w:val="18"/>
                <w:szCs w:val="18"/>
              </w:rPr>
            </w:pPr>
            <w:r>
              <w:rPr>
                <w:rFonts w:ascii="Arial" w:hAnsi="Arial"/>
                <w:color w:val="000000" w:themeColor="text1"/>
                <w:sz w:val="18"/>
                <w:szCs w:val="18"/>
              </w:rPr>
              <w:t>1,500</w:t>
            </w:r>
          </w:p>
        </w:tc>
      </w:tr>
      <w:tr w:rsidR="00DC584B" w:rsidRPr="00F2414C" w14:paraId="6EB816CC" w14:textId="77777777" w:rsidTr="00DC1935">
        <w:trPr>
          <w:trHeight w:val="567"/>
        </w:trPr>
        <w:tc>
          <w:tcPr>
            <w:tcW w:w="2547" w:type="dxa"/>
            <w:shd w:val="clear" w:color="auto" w:fill="D9D9D9" w:themeFill="background1" w:themeFillShade="D9"/>
            <w:vAlign w:val="center"/>
          </w:tcPr>
          <w:p w14:paraId="75FD24CE" w14:textId="1E175ED4" w:rsidR="00DC584B" w:rsidRDefault="00DC584B" w:rsidP="0012484F">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Klöpperhaus</w:t>
            </w:r>
            <w:proofErr w:type="spellEnd"/>
            <w:r>
              <w:rPr>
                <w:rFonts w:ascii="Arial" w:hAnsi="Arial"/>
                <w:color w:val="000000" w:themeColor="text1"/>
                <w:sz w:val="18"/>
                <w:szCs w:val="18"/>
              </w:rPr>
              <w:t>”</w:t>
            </w:r>
            <w:r>
              <w:rPr>
                <w:rFonts w:ascii="Arial" w:hAnsi="Arial"/>
                <w:color w:val="000000" w:themeColor="text1"/>
                <w:sz w:val="18"/>
                <w:szCs w:val="18"/>
              </w:rPr>
              <w:br/>
              <w:t xml:space="preserve">(formerly </w:t>
            </w:r>
            <w:proofErr w:type="spellStart"/>
            <w:r>
              <w:rPr>
                <w:rFonts w:ascii="Arial" w:hAnsi="Arial"/>
                <w:color w:val="000000" w:themeColor="text1"/>
                <w:sz w:val="18"/>
                <w:szCs w:val="18"/>
              </w:rPr>
              <w:t>Galeria</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Kaufhof</w:t>
            </w:r>
            <w:proofErr w:type="spellEnd"/>
            <w:r>
              <w:rPr>
                <w:rFonts w:ascii="Arial" w:hAnsi="Arial"/>
                <w:color w:val="000000" w:themeColor="text1"/>
                <w:sz w:val="18"/>
                <w:szCs w:val="18"/>
              </w:rPr>
              <w:t>)</w:t>
            </w:r>
          </w:p>
        </w:tc>
        <w:tc>
          <w:tcPr>
            <w:tcW w:w="1276" w:type="dxa"/>
            <w:shd w:val="clear" w:color="auto" w:fill="D9D9D9" w:themeFill="background1" w:themeFillShade="D9"/>
            <w:vAlign w:val="center"/>
          </w:tcPr>
          <w:p w14:paraId="0B79E195" w14:textId="7CF14AC4" w:rsidR="00DC584B" w:rsidRDefault="00DC584B" w:rsidP="00927886">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1275" w:type="dxa"/>
            <w:shd w:val="clear" w:color="auto" w:fill="D9D9D9" w:themeFill="background1" w:themeFillShade="D9"/>
            <w:vAlign w:val="center"/>
          </w:tcPr>
          <w:p w14:paraId="5DCFD696" w14:textId="458073EA" w:rsidR="00DC584B" w:rsidRDefault="00DC584B" w:rsidP="00E347F2">
            <w:pPr>
              <w:widowControl w:val="0"/>
              <w:spacing w:after="0"/>
              <w:rPr>
                <w:rFonts w:ascii="Arial" w:hAnsi="Arial" w:cs="Arial"/>
                <w:color w:val="000000" w:themeColor="text1"/>
                <w:sz w:val="18"/>
                <w:szCs w:val="18"/>
              </w:rPr>
            </w:pPr>
            <w:r>
              <w:rPr>
                <w:rFonts w:ascii="Arial" w:hAnsi="Arial"/>
                <w:color w:val="000000" w:themeColor="text1"/>
                <w:sz w:val="18"/>
                <w:szCs w:val="18"/>
              </w:rPr>
              <w:t>Retail</w:t>
            </w:r>
          </w:p>
        </w:tc>
        <w:tc>
          <w:tcPr>
            <w:tcW w:w="1701" w:type="dxa"/>
            <w:shd w:val="clear" w:color="auto" w:fill="D9D9D9" w:themeFill="background1" w:themeFillShade="D9"/>
            <w:vAlign w:val="center"/>
          </w:tcPr>
          <w:p w14:paraId="096820F2" w14:textId="79D17876" w:rsidR="00DC584B" w:rsidRDefault="00DC584B" w:rsidP="009278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Tishman</w:t>
            </w:r>
            <w:proofErr w:type="spellEnd"/>
            <w:r>
              <w:rPr>
                <w:rFonts w:ascii="Arial" w:hAnsi="Arial"/>
                <w:color w:val="000000" w:themeColor="text1"/>
                <w:sz w:val="18"/>
                <w:szCs w:val="18"/>
              </w:rPr>
              <w:t xml:space="preserve"> Speyer</w:t>
            </w:r>
          </w:p>
        </w:tc>
        <w:tc>
          <w:tcPr>
            <w:tcW w:w="1843" w:type="dxa"/>
            <w:shd w:val="clear" w:color="auto" w:fill="D9D9D9" w:themeFill="background1" w:themeFillShade="D9"/>
            <w:vAlign w:val="center"/>
          </w:tcPr>
          <w:p w14:paraId="7AC49F54" w14:textId="0F9EC421" w:rsidR="00DC584B" w:rsidRPr="00E347F2" w:rsidRDefault="00DC584B" w:rsidP="009278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Württembergische</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Lebensversicherung</w:t>
            </w:r>
            <w:proofErr w:type="spellEnd"/>
            <w:r>
              <w:rPr>
                <w:rFonts w:ascii="Arial" w:hAnsi="Arial"/>
                <w:color w:val="000000" w:themeColor="text1"/>
                <w:sz w:val="18"/>
                <w:szCs w:val="18"/>
              </w:rPr>
              <w:t xml:space="preserve"> (insurance co.)</w:t>
            </w:r>
          </w:p>
        </w:tc>
        <w:tc>
          <w:tcPr>
            <w:tcW w:w="1134" w:type="dxa"/>
            <w:shd w:val="clear" w:color="auto" w:fill="D9D9D9" w:themeFill="background1" w:themeFillShade="D9"/>
            <w:vAlign w:val="center"/>
          </w:tcPr>
          <w:p w14:paraId="64215B4A" w14:textId="5BFCDF3E" w:rsidR="00DC584B" w:rsidRDefault="006D5F37" w:rsidP="006D5F37">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160</w:t>
            </w:r>
          </w:p>
        </w:tc>
      </w:tr>
      <w:tr w:rsidR="006D5F37" w:rsidRPr="00F2414C" w14:paraId="0E0D25C0" w14:textId="77777777" w:rsidTr="00DC1935">
        <w:trPr>
          <w:trHeight w:val="567"/>
        </w:trPr>
        <w:tc>
          <w:tcPr>
            <w:tcW w:w="2547" w:type="dxa"/>
            <w:shd w:val="clear" w:color="auto" w:fill="D9D9D9" w:themeFill="background1" w:themeFillShade="D9"/>
            <w:vAlign w:val="center"/>
          </w:tcPr>
          <w:p w14:paraId="293D5987" w14:textId="609426DD" w:rsidR="006D5F37" w:rsidRDefault="006D5F37" w:rsidP="0012484F">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“EDGE </w:t>
            </w:r>
            <w:proofErr w:type="spellStart"/>
            <w:r>
              <w:rPr>
                <w:rFonts w:ascii="Arial" w:hAnsi="Arial"/>
                <w:color w:val="000000" w:themeColor="text1"/>
                <w:sz w:val="18"/>
                <w:szCs w:val="18"/>
              </w:rPr>
              <w:t>Elbside</w:t>
            </w:r>
            <w:proofErr w:type="spellEnd"/>
            <w:r>
              <w:rPr>
                <w:rFonts w:ascii="Arial" w:hAnsi="Arial"/>
                <w:color w:val="000000" w:themeColor="text1"/>
                <w:sz w:val="18"/>
                <w:szCs w:val="18"/>
              </w:rPr>
              <w:t>” (50 %)</w:t>
            </w:r>
          </w:p>
        </w:tc>
        <w:tc>
          <w:tcPr>
            <w:tcW w:w="1276" w:type="dxa"/>
            <w:shd w:val="clear" w:color="auto" w:fill="D9D9D9" w:themeFill="background1" w:themeFillShade="D9"/>
            <w:vAlign w:val="center"/>
          </w:tcPr>
          <w:p w14:paraId="31A04BD6" w14:textId="6F0081CB" w:rsidR="006D5F37" w:rsidRDefault="006D5F37"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HafenCity</w:t>
            </w:r>
          </w:p>
        </w:tc>
        <w:tc>
          <w:tcPr>
            <w:tcW w:w="1275" w:type="dxa"/>
            <w:shd w:val="clear" w:color="auto" w:fill="D9D9D9" w:themeFill="background1" w:themeFillShade="D9"/>
            <w:vAlign w:val="center"/>
          </w:tcPr>
          <w:p w14:paraId="6D8A28A1" w14:textId="35881EA4" w:rsidR="006D5F37" w:rsidRDefault="006D5F37" w:rsidP="00E347F2">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701" w:type="dxa"/>
            <w:shd w:val="clear" w:color="auto" w:fill="D9D9D9" w:themeFill="background1" w:themeFillShade="D9"/>
            <w:vAlign w:val="center"/>
          </w:tcPr>
          <w:p w14:paraId="6845AB29" w14:textId="35505DF2" w:rsidR="006D5F37" w:rsidRPr="005524A3" w:rsidRDefault="006D5F37" w:rsidP="00B1598B">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Ampega</w:t>
            </w:r>
            <w:proofErr w:type="spellEnd"/>
            <w:r>
              <w:rPr>
                <w:rFonts w:ascii="Arial" w:hAnsi="Arial"/>
                <w:color w:val="000000" w:themeColor="text1"/>
                <w:sz w:val="18"/>
                <w:szCs w:val="18"/>
              </w:rPr>
              <w:t xml:space="preserve"> Asset Management </w:t>
            </w:r>
          </w:p>
        </w:tc>
        <w:tc>
          <w:tcPr>
            <w:tcW w:w="1843" w:type="dxa"/>
            <w:shd w:val="clear" w:color="auto" w:fill="D9D9D9" w:themeFill="background1" w:themeFillShade="D9"/>
            <w:vAlign w:val="center"/>
          </w:tcPr>
          <w:p w14:paraId="53C43BB4" w14:textId="09BA1421" w:rsidR="006D5F37" w:rsidRPr="00E347F2" w:rsidRDefault="006D5F37" w:rsidP="009278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HanseMerkur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Grundvermögen</w:t>
            </w:r>
            <w:proofErr w:type="spellEnd"/>
          </w:p>
        </w:tc>
        <w:tc>
          <w:tcPr>
            <w:tcW w:w="1134" w:type="dxa"/>
            <w:shd w:val="clear" w:color="auto" w:fill="D9D9D9" w:themeFill="background1" w:themeFillShade="D9"/>
            <w:vAlign w:val="center"/>
          </w:tcPr>
          <w:p w14:paraId="2A33533D" w14:textId="0226CD9B" w:rsidR="006D5F37" w:rsidRDefault="006D5F37" w:rsidP="006D5F37">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100</w:t>
            </w:r>
          </w:p>
        </w:tc>
      </w:tr>
      <w:tr w:rsidR="00C7341F" w:rsidRPr="00F2414C" w14:paraId="6C281615" w14:textId="77777777" w:rsidTr="00DC1935">
        <w:trPr>
          <w:trHeight w:val="567"/>
        </w:trPr>
        <w:tc>
          <w:tcPr>
            <w:tcW w:w="2547" w:type="dxa"/>
            <w:shd w:val="clear" w:color="auto" w:fill="auto"/>
            <w:vAlign w:val="center"/>
          </w:tcPr>
          <w:p w14:paraId="78B904D4" w14:textId="10BD675B" w:rsidR="00C7341F" w:rsidRPr="00CA462D" w:rsidRDefault="00E347F2" w:rsidP="0012484F">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Building land </w:t>
            </w:r>
            <w:proofErr w:type="spellStart"/>
            <w:r>
              <w:rPr>
                <w:rFonts w:ascii="Arial" w:hAnsi="Arial"/>
                <w:color w:val="000000" w:themeColor="text1"/>
                <w:sz w:val="18"/>
                <w:szCs w:val="18"/>
              </w:rPr>
              <w:t>Seehafenstrasse</w:t>
            </w:r>
            <w:proofErr w:type="spellEnd"/>
          </w:p>
        </w:tc>
        <w:tc>
          <w:tcPr>
            <w:tcW w:w="1276" w:type="dxa"/>
            <w:shd w:val="clear" w:color="auto" w:fill="auto"/>
            <w:vAlign w:val="center"/>
          </w:tcPr>
          <w:p w14:paraId="6CFB43B5" w14:textId="42EB0DC0"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Hamburg South</w:t>
            </w:r>
          </w:p>
        </w:tc>
        <w:tc>
          <w:tcPr>
            <w:tcW w:w="1275" w:type="dxa"/>
            <w:shd w:val="clear" w:color="auto" w:fill="auto"/>
            <w:vAlign w:val="center"/>
          </w:tcPr>
          <w:p w14:paraId="7E6158FB" w14:textId="5DF9560E" w:rsidR="00C7341F" w:rsidRPr="00CA462D" w:rsidRDefault="00E347F2" w:rsidP="00E347F2">
            <w:pPr>
              <w:widowControl w:val="0"/>
              <w:spacing w:after="0"/>
              <w:rPr>
                <w:rFonts w:ascii="Arial" w:hAnsi="Arial" w:cs="Arial"/>
                <w:color w:val="000000" w:themeColor="text1"/>
                <w:sz w:val="18"/>
                <w:szCs w:val="18"/>
              </w:rPr>
            </w:pPr>
            <w:r>
              <w:rPr>
                <w:rFonts w:ascii="Arial" w:hAnsi="Arial"/>
                <w:color w:val="000000" w:themeColor="text1"/>
                <w:sz w:val="18"/>
                <w:szCs w:val="18"/>
              </w:rPr>
              <w:t>Commercial building land</w:t>
            </w:r>
          </w:p>
        </w:tc>
        <w:tc>
          <w:tcPr>
            <w:tcW w:w="1701" w:type="dxa"/>
            <w:shd w:val="clear" w:color="auto" w:fill="auto"/>
            <w:vAlign w:val="center"/>
          </w:tcPr>
          <w:p w14:paraId="779F9A7A" w14:textId="4440317A"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Project developers</w:t>
            </w:r>
          </w:p>
        </w:tc>
        <w:tc>
          <w:tcPr>
            <w:tcW w:w="1843" w:type="dxa"/>
            <w:shd w:val="clear" w:color="auto" w:fill="auto"/>
            <w:vAlign w:val="center"/>
          </w:tcPr>
          <w:p w14:paraId="40F63FEB" w14:textId="19FDBA67" w:rsidR="00C7341F" w:rsidRPr="00CA462D" w:rsidRDefault="00E347F2" w:rsidP="00927886">
            <w:pPr>
              <w:widowControl w:val="0"/>
              <w:spacing w:after="0"/>
              <w:rPr>
                <w:rFonts w:ascii="Arial" w:hAnsi="Arial" w:cs="Arial"/>
                <w:color w:val="000000" w:themeColor="text1"/>
                <w:sz w:val="18"/>
                <w:szCs w:val="18"/>
              </w:rPr>
            </w:pPr>
            <w:r>
              <w:rPr>
                <w:rFonts w:ascii="Arial" w:hAnsi="Arial"/>
                <w:color w:val="000000" w:themeColor="text1"/>
                <w:sz w:val="18"/>
                <w:szCs w:val="18"/>
              </w:rPr>
              <w:t>Corporate</w:t>
            </w:r>
          </w:p>
        </w:tc>
        <w:tc>
          <w:tcPr>
            <w:tcW w:w="1134" w:type="dxa"/>
            <w:shd w:val="clear" w:color="auto" w:fill="auto"/>
            <w:vAlign w:val="center"/>
          </w:tcPr>
          <w:p w14:paraId="41FEEF1D" w14:textId="0A10C455" w:rsidR="00C7341F" w:rsidRPr="00CA462D" w:rsidRDefault="00712CE1"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70</w:t>
            </w:r>
          </w:p>
        </w:tc>
      </w:tr>
      <w:tr w:rsidR="00C7341F" w:rsidRPr="00F2414C" w14:paraId="4DEF231D" w14:textId="77777777" w:rsidTr="00DC1935">
        <w:trPr>
          <w:trHeight w:val="567"/>
        </w:trPr>
        <w:tc>
          <w:tcPr>
            <w:tcW w:w="2547" w:type="dxa"/>
            <w:shd w:val="clear" w:color="auto" w:fill="auto"/>
            <w:vAlign w:val="center"/>
          </w:tcPr>
          <w:p w14:paraId="58E408B5" w14:textId="77DBEFEE" w:rsidR="00C7341F" w:rsidRPr="00CA462D" w:rsidRDefault="007A4FCB" w:rsidP="00927886">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Peute</w:t>
            </w:r>
            <w:proofErr w:type="spellEnd"/>
            <w:r>
              <w:rPr>
                <w:rFonts w:ascii="Arial" w:hAnsi="Arial"/>
                <w:color w:val="000000" w:themeColor="text1"/>
                <w:sz w:val="18"/>
                <w:szCs w:val="18"/>
              </w:rPr>
              <w:t xml:space="preserve"> Dock” (section of site),</w:t>
            </w:r>
            <w:r>
              <w:rPr>
                <w:rFonts w:ascii="Arial" w:hAnsi="Arial"/>
                <w:color w:val="000000" w:themeColor="text1"/>
                <w:sz w:val="18"/>
                <w:szCs w:val="18"/>
              </w:rPr>
              <w:br/>
            </w:r>
            <w:proofErr w:type="spellStart"/>
            <w:r>
              <w:rPr>
                <w:rFonts w:ascii="Arial" w:hAnsi="Arial"/>
                <w:color w:val="000000" w:themeColor="text1"/>
                <w:sz w:val="18"/>
                <w:szCs w:val="18"/>
              </w:rPr>
              <w:t>Oberwerder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Damm</w:t>
            </w:r>
            <w:proofErr w:type="spellEnd"/>
            <w:r>
              <w:rPr>
                <w:rFonts w:ascii="Arial" w:hAnsi="Arial"/>
                <w:color w:val="000000" w:themeColor="text1"/>
                <w:sz w:val="18"/>
                <w:szCs w:val="18"/>
              </w:rPr>
              <w:t xml:space="preserve"> 11-21</w:t>
            </w:r>
          </w:p>
        </w:tc>
        <w:tc>
          <w:tcPr>
            <w:tcW w:w="1276" w:type="dxa"/>
            <w:shd w:val="clear" w:color="auto" w:fill="auto"/>
            <w:vAlign w:val="center"/>
          </w:tcPr>
          <w:p w14:paraId="3F2EE2F1" w14:textId="57ED599D"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Hamburg East</w:t>
            </w:r>
          </w:p>
        </w:tc>
        <w:tc>
          <w:tcPr>
            <w:tcW w:w="1275" w:type="dxa"/>
            <w:shd w:val="clear" w:color="auto" w:fill="auto"/>
            <w:vAlign w:val="center"/>
          </w:tcPr>
          <w:p w14:paraId="04C51391" w14:textId="060AC8F4"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Industry / logistics </w:t>
            </w:r>
          </w:p>
        </w:tc>
        <w:tc>
          <w:tcPr>
            <w:tcW w:w="1701" w:type="dxa"/>
            <w:shd w:val="clear" w:color="auto" w:fill="auto"/>
            <w:vAlign w:val="center"/>
          </w:tcPr>
          <w:p w14:paraId="178C5741" w14:textId="62DE478B" w:rsidR="00C7341F" w:rsidRPr="00CA462D" w:rsidRDefault="00B1598B" w:rsidP="0012484F">
            <w:pPr>
              <w:widowControl w:val="0"/>
              <w:spacing w:after="0"/>
              <w:rPr>
                <w:rFonts w:ascii="Arial" w:hAnsi="Arial" w:cs="Arial"/>
                <w:sz w:val="18"/>
                <w:szCs w:val="18"/>
              </w:rPr>
            </w:pPr>
            <w:r>
              <w:rPr>
                <w:rFonts w:ascii="Arial" w:hAnsi="Arial"/>
                <w:sz w:val="18"/>
                <w:szCs w:val="18"/>
              </w:rPr>
              <w:t>DIC Asset</w:t>
            </w:r>
          </w:p>
        </w:tc>
        <w:tc>
          <w:tcPr>
            <w:tcW w:w="1843" w:type="dxa"/>
            <w:shd w:val="clear" w:color="auto" w:fill="auto"/>
            <w:vAlign w:val="center"/>
          </w:tcPr>
          <w:p w14:paraId="7DFC0737" w14:textId="467E3848" w:rsidR="00C7341F" w:rsidRPr="00CA462D" w:rsidRDefault="007A4FCB" w:rsidP="00927886">
            <w:pPr>
              <w:widowControl w:val="0"/>
              <w:spacing w:after="0"/>
              <w:rPr>
                <w:rFonts w:ascii="Arial" w:hAnsi="Arial" w:cs="Arial"/>
                <w:color w:val="000000" w:themeColor="text1"/>
                <w:sz w:val="18"/>
                <w:szCs w:val="18"/>
              </w:rPr>
            </w:pPr>
            <w:r>
              <w:rPr>
                <w:rFonts w:ascii="Arial" w:hAnsi="Arial"/>
                <w:color w:val="000000" w:themeColor="text1"/>
                <w:sz w:val="18"/>
                <w:szCs w:val="18"/>
              </w:rPr>
              <w:t>Family Value Management</w:t>
            </w:r>
          </w:p>
        </w:tc>
        <w:tc>
          <w:tcPr>
            <w:tcW w:w="1134" w:type="dxa"/>
            <w:shd w:val="clear" w:color="auto" w:fill="auto"/>
            <w:vAlign w:val="center"/>
          </w:tcPr>
          <w:p w14:paraId="48ADC86F" w14:textId="0DFAE33A" w:rsidR="00C7341F" w:rsidRPr="00CA462D" w:rsidRDefault="00712CE1"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45</w:t>
            </w:r>
          </w:p>
        </w:tc>
      </w:tr>
    </w:tbl>
    <w:p w14:paraId="38EB286B" w14:textId="05C537AD" w:rsidR="00C7341F" w:rsidRDefault="00C7341F" w:rsidP="00C7341F">
      <w:pPr>
        <w:widowControl w:val="0"/>
        <w:spacing w:after="0"/>
        <w:rPr>
          <w:rFonts w:ascii="Arial" w:hAnsi="Arial" w:cs="Arial"/>
          <w:sz w:val="16"/>
          <w:szCs w:val="16"/>
        </w:rPr>
      </w:pPr>
      <w:r>
        <w:rPr>
          <w:rFonts w:ascii="Arial" w:hAnsi="Arial"/>
          <w:sz w:val="16"/>
          <w:szCs w:val="16"/>
        </w:rPr>
        <w:t>* The purchase prices stated are based on publicly available data, where none is available an estimate is used instead Transactions occurring in the quarter covered by this report are highlighted.</w:t>
      </w: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7FE2AE63" w:rsidR="0090748B" w:rsidRPr="00B94727" w:rsidRDefault="0090748B" w:rsidP="0090748B">
      <w:pPr>
        <w:spacing w:after="0" w:line="360" w:lineRule="auto"/>
        <w:textAlignment w:val="baseline"/>
        <w:rPr>
          <w:rFonts w:ascii="Arial" w:eastAsia="Arial" w:hAnsi="Arial" w:cs="Arial"/>
          <w:color w:val="000000" w:themeColor="text1"/>
          <w:sz w:val="16"/>
          <w:szCs w:val="16"/>
        </w:rPr>
      </w:pPr>
      <w:r w:rsidRPr="00B94727">
        <w:rPr>
          <w:rFonts w:ascii="Arial" w:hAnsi="Arial" w:cs="Arial"/>
          <w:color w:val="000000" w:themeColor="text1"/>
          <w:sz w:val="16"/>
          <w:szCs w:val="16"/>
        </w:rPr>
        <w:t>The</w:t>
      </w:r>
      <w:hyperlink r:id="rId9" w:history="1">
        <w:r w:rsidRPr="00B94727">
          <w:rPr>
            <w:rStyle w:val="Hyperlink"/>
            <w:rFonts w:ascii="Arial" w:hAnsi="Arial" w:cs="Arial"/>
            <w:sz w:val="16"/>
            <w:szCs w:val="16"/>
          </w:rPr>
          <w:t xml:space="preserve"> market survey property investment in Hamburg 2022/Q2</w:t>
        </w:r>
      </w:hyperlink>
      <w:r w:rsidRPr="00B94727">
        <w:rPr>
          <w:rFonts w:ascii="Arial" w:hAnsi="Arial" w:cs="Arial"/>
          <w:color w:val="000000" w:themeColor="text1"/>
          <w:sz w:val="16"/>
          <w:szCs w:val="16"/>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439D6771" w14:textId="77777777" w:rsidR="00096E23" w:rsidRPr="0090748B" w:rsidRDefault="00096E23" w:rsidP="00096E23">
      <w:pPr>
        <w:spacing w:after="0" w:line="360" w:lineRule="auto"/>
        <w:rPr>
          <w:rFonts w:ascii="Arial" w:hAnsi="Arial" w:cs="Arial"/>
          <w:b/>
          <w:sz w:val="16"/>
          <w:szCs w:val="16"/>
        </w:rPr>
      </w:pPr>
      <w:r>
        <w:rPr>
          <w:rFonts w:ascii="Arial" w:hAnsi="Arial"/>
          <w:b/>
          <w:sz w:val="16"/>
          <w:szCs w:val="16"/>
        </w:rPr>
        <w:t>About Grossmann &amp; Berger</w:t>
      </w:r>
    </w:p>
    <w:p w14:paraId="08963923" w14:textId="77777777" w:rsidR="00096E23" w:rsidRPr="00521AA1" w:rsidRDefault="00EA4A43" w:rsidP="00096E23">
      <w:pPr>
        <w:spacing w:after="0" w:line="360" w:lineRule="auto"/>
        <w:rPr>
          <w:rFonts w:ascii="Arial" w:hAnsi="Arial" w:cs="Arial"/>
          <w:vanish/>
          <w:sz w:val="16"/>
          <w:szCs w:val="16"/>
          <w:specVanish/>
        </w:rPr>
      </w:pPr>
      <w:hyperlink r:id="rId10" w:history="1">
        <w:r w:rsidR="00096E23">
          <w:rPr>
            <w:rStyle w:val="Hyperlink"/>
            <w:rFonts w:ascii="Arial" w:hAnsi="Arial"/>
            <w:snapToGrid w:val="0"/>
            <w:sz w:val="16"/>
            <w:szCs w:val="16"/>
          </w:rPr>
          <w:t>Grossmann &amp; Berger GmbH</w:t>
        </w:r>
      </w:hyperlink>
      <w:r w:rsidR="00096E23">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096E23">
          <w:rPr>
            <w:rStyle w:val="Hyperlink"/>
            <w:rFonts w:ascii="Arial" w:hAnsi="Arial"/>
            <w:snapToGrid w:val="0"/>
            <w:sz w:val="16"/>
            <w:szCs w:val="16"/>
          </w:rPr>
          <w:t>E &amp; G Real Estate</w:t>
        </w:r>
      </w:hyperlink>
      <w:r w:rsidR="00096E23">
        <w:rPr>
          <w:rFonts w:ascii="Arial" w:hAnsi="Arial"/>
          <w:snapToGrid w:val="0"/>
          <w:sz w:val="16"/>
          <w:szCs w:val="16"/>
        </w:rPr>
        <w:t xml:space="preserve"> and</w:t>
      </w:r>
      <w:r w:rsidR="00096E23">
        <w:rPr>
          <w:rFonts w:ascii="Arial" w:hAnsi="Arial"/>
          <w:snapToGrid w:val="0"/>
          <w:sz w:val="16"/>
          <w:szCs w:val="16"/>
        </w:rPr>
        <w:br/>
      </w:r>
      <w:hyperlink r:id="rId12" w:history="1">
        <w:r w:rsidR="00096E23">
          <w:rPr>
            <w:rStyle w:val="Hyperlink"/>
            <w:rFonts w:ascii="Arial" w:hAnsi="Arial"/>
            <w:snapToGrid w:val="0"/>
            <w:sz w:val="16"/>
            <w:szCs w:val="16"/>
          </w:rPr>
          <w:t xml:space="preserve">E &amp; G Private </w:t>
        </w:r>
        <w:proofErr w:type="spellStart"/>
        <w:r w:rsidR="00096E23">
          <w:rPr>
            <w:rStyle w:val="Hyperlink"/>
            <w:rFonts w:ascii="Arial" w:hAnsi="Arial"/>
            <w:snapToGrid w:val="0"/>
            <w:sz w:val="16"/>
            <w:szCs w:val="16"/>
          </w:rPr>
          <w:t>Immobilien</w:t>
        </w:r>
        <w:proofErr w:type="spellEnd"/>
      </w:hyperlink>
      <w:r w:rsidR="00096E23">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096E23">
        <w:rPr>
          <w:rFonts w:ascii="Arial" w:hAnsi="Arial"/>
          <w:sz w:val="16"/>
          <w:szCs w:val="16"/>
        </w:rPr>
        <w:t xml:space="preserve">Grossmann &amp; Berger belongs to the HASPA Group and is a founding member of the national commercial real estate network </w:t>
      </w:r>
      <w:hyperlink r:id="rId13" w:history="1">
        <w:r w:rsidR="00096E23">
          <w:rPr>
            <w:rStyle w:val="Hyperlink"/>
            <w:rFonts w:ascii="Arial" w:hAnsi="Arial"/>
            <w:sz w:val="16"/>
            <w:szCs w:val="16"/>
          </w:rPr>
          <w:t>German Property Partners</w:t>
        </w:r>
      </w:hyperlink>
      <w:r w:rsidR="00096E23">
        <w:rPr>
          <w:rFonts w:ascii="Arial" w:hAnsi="Arial"/>
          <w:sz w:val="16"/>
          <w:szCs w:val="16"/>
        </w:rPr>
        <w:t xml:space="preserve"> (GPP).</w:t>
      </w:r>
    </w:p>
    <w:p w14:paraId="061ABA73" w14:textId="77777777" w:rsidR="00096E23" w:rsidRPr="00521AA1" w:rsidRDefault="00096E23" w:rsidP="00096E23">
      <w:pPr>
        <w:spacing w:after="0" w:line="360" w:lineRule="auto"/>
        <w:rPr>
          <w:rFonts w:ascii="Arial" w:hAnsi="Arial" w:cs="Arial"/>
          <w:sz w:val="16"/>
          <w:szCs w:val="16"/>
        </w:rPr>
      </w:pPr>
    </w:p>
    <w:p w14:paraId="4A6F933C" w14:textId="77777777" w:rsidR="00096E23" w:rsidRDefault="00096E23" w:rsidP="00096E23">
      <w:pPr>
        <w:spacing w:after="0" w:line="360" w:lineRule="auto"/>
        <w:rPr>
          <w:rFonts w:ascii="Arial" w:hAnsi="Arial" w:cs="Arial"/>
          <w:sz w:val="16"/>
          <w:szCs w:val="16"/>
        </w:rPr>
      </w:pPr>
    </w:p>
    <w:p w14:paraId="4CECEBB6" w14:textId="650C40A1" w:rsidR="00503D8C" w:rsidRPr="00096E23" w:rsidRDefault="00096E23" w:rsidP="00096E23">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096E23"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781F" w14:textId="77777777" w:rsidR="008D3F67" w:rsidRDefault="008D3F67">
      <w:r>
        <w:separator/>
      </w:r>
    </w:p>
  </w:endnote>
  <w:endnote w:type="continuationSeparator" w:id="0">
    <w:p w14:paraId="274ECEF2" w14:textId="77777777" w:rsidR="008D3F67" w:rsidRDefault="008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E0441E">
      <w:rPr>
        <w:rFonts w:ascii="Arial" w:hAnsi="Arial"/>
        <w:b/>
        <w:bCs/>
        <w:color w:val="918F90"/>
        <w:sz w:val="18"/>
        <w:szCs w:val="18"/>
        <w:lang w:val="de-DE"/>
      </w:rPr>
      <w:t xml:space="preserve">Grossmann &amp; Berger GmbH </w:t>
    </w:r>
    <w:r w:rsidRPr="00E0441E">
      <w:rPr>
        <w:rFonts w:ascii="Arial" w:hAnsi="Arial"/>
        <w:color w:val="918F90"/>
        <w:sz w:val="18"/>
        <w:szCs w:val="18"/>
        <w:lang w:val="de-DE"/>
      </w:rPr>
      <w:t xml:space="preserve">| </w:t>
    </w:r>
    <w:proofErr w:type="spellStart"/>
    <w:r w:rsidRPr="00E0441E">
      <w:rPr>
        <w:rFonts w:ascii="Arial" w:hAnsi="Arial"/>
        <w:color w:val="918F90"/>
        <w:sz w:val="18"/>
        <w:szCs w:val="18"/>
        <w:lang w:val="de-DE"/>
      </w:rPr>
      <w:t>Bleichenbrücke</w:t>
    </w:r>
    <w:proofErr w:type="spellEnd"/>
    <w:r w:rsidRPr="00E0441E">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E0EDDBC" w14:textId="3A4F8A1E"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A4A4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A4A43">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9D82" w14:textId="77777777" w:rsidR="008D3F67" w:rsidRDefault="008D3F67">
      <w:r>
        <w:separator/>
      </w:r>
    </w:p>
  </w:footnote>
  <w:footnote w:type="continuationSeparator" w:id="0">
    <w:p w14:paraId="26004389" w14:textId="77777777" w:rsidR="008D3F67" w:rsidRDefault="008D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33ADA0D1">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038D399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038D399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28446FD2">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341F569C"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341F569C"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1"/>
  </w:num>
  <w:num w:numId="17">
    <w:abstractNumId w:val="14"/>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02AA"/>
    <w:rsid w:val="00022F16"/>
    <w:rsid w:val="00023D78"/>
    <w:rsid w:val="0003075C"/>
    <w:rsid w:val="00060743"/>
    <w:rsid w:val="00066796"/>
    <w:rsid w:val="000766D7"/>
    <w:rsid w:val="00096E23"/>
    <w:rsid w:val="000A6D3A"/>
    <w:rsid w:val="000B3315"/>
    <w:rsid w:val="000C770D"/>
    <w:rsid w:val="000E03F3"/>
    <w:rsid w:val="001029C4"/>
    <w:rsid w:val="0011486D"/>
    <w:rsid w:val="00121E33"/>
    <w:rsid w:val="0012484F"/>
    <w:rsid w:val="00126550"/>
    <w:rsid w:val="001324D6"/>
    <w:rsid w:val="00135BD2"/>
    <w:rsid w:val="00142A67"/>
    <w:rsid w:val="00154825"/>
    <w:rsid w:val="00155DAF"/>
    <w:rsid w:val="0016456A"/>
    <w:rsid w:val="00166195"/>
    <w:rsid w:val="0017516B"/>
    <w:rsid w:val="00176F1D"/>
    <w:rsid w:val="00190298"/>
    <w:rsid w:val="001914C9"/>
    <w:rsid w:val="001922E2"/>
    <w:rsid w:val="00192897"/>
    <w:rsid w:val="001A2ABE"/>
    <w:rsid w:val="001A360C"/>
    <w:rsid w:val="001A5E9E"/>
    <w:rsid w:val="001B3575"/>
    <w:rsid w:val="001D0D74"/>
    <w:rsid w:val="001D14DA"/>
    <w:rsid w:val="001E6995"/>
    <w:rsid w:val="001F1513"/>
    <w:rsid w:val="001F6BCE"/>
    <w:rsid w:val="00205769"/>
    <w:rsid w:val="00212FEC"/>
    <w:rsid w:val="002131BB"/>
    <w:rsid w:val="0022086D"/>
    <w:rsid w:val="002220CB"/>
    <w:rsid w:val="00227E31"/>
    <w:rsid w:val="00230F81"/>
    <w:rsid w:val="00231898"/>
    <w:rsid w:val="002538F8"/>
    <w:rsid w:val="00254C6F"/>
    <w:rsid w:val="002665B5"/>
    <w:rsid w:val="0027266B"/>
    <w:rsid w:val="00281E80"/>
    <w:rsid w:val="002834B0"/>
    <w:rsid w:val="00283671"/>
    <w:rsid w:val="00284E27"/>
    <w:rsid w:val="002A028B"/>
    <w:rsid w:val="002A1973"/>
    <w:rsid w:val="002C2392"/>
    <w:rsid w:val="002D1C5C"/>
    <w:rsid w:val="002D1E20"/>
    <w:rsid w:val="002E6860"/>
    <w:rsid w:val="002F0411"/>
    <w:rsid w:val="00325E2A"/>
    <w:rsid w:val="00332FE5"/>
    <w:rsid w:val="00340A27"/>
    <w:rsid w:val="0034786C"/>
    <w:rsid w:val="003517C9"/>
    <w:rsid w:val="0035325B"/>
    <w:rsid w:val="003577ED"/>
    <w:rsid w:val="00370000"/>
    <w:rsid w:val="00373507"/>
    <w:rsid w:val="0038230E"/>
    <w:rsid w:val="00382529"/>
    <w:rsid w:val="00387D3B"/>
    <w:rsid w:val="003A75E8"/>
    <w:rsid w:val="003B4CCF"/>
    <w:rsid w:val="003C6AB4"/>
    <w:rsid w:val="003E099F"/>
    <w:rsid w:val="003F1645"/>
    <w:rsid w:val="0040086D"/>
    <w:rsid w:val="004017D8"/>
    <w:rsid w:val="00411E03"/>
    <w:rsid w:val="004123B1"/>
    <w:rsid w:val="004303A1"/>
    <w:rsid w:val="004351E4"/>
    <w:rsid w:val="00435B0F"/>
    <w:rsid w:val="00440DC9"/>
    <w:rsid w:val="004506D2"/>
    <w:rsid w:val="00456F40"/>
    <w:rsid w:val="004609BD"/>
    <w:rsid w:val="004661EE"/>
    <w:rsid w:val="00466741"/>
    <w:rsid w:val="0047591A"/>
    <w:rsid w:val="004839BD"/>
    <w:rsid w:val="004A2BEA"/>
    <w:rsid w:val="004A3C64"/>
    <w:rsid w:val="004A5AEA"/>
    <w:rsid w:val="004B09DE"/>
    <w:rsid w:val="004B2FDA"/>
    <w:rsid w:val="004B480A"/>
    <w:rsid w:val="004E339B"/>
    <w:rsid w:val="004E4562"/>
    <w:rsid w:val="004F077F"/>
    <w:rsid w:val="005023DD"/>
    <w:rsid w:val="00503D8C"/>
    <w:rsid w:val="00522B84"/>
    <w:rsid w:val="00531A7F"/>
    <w:rsid w:val="00537E0A"/>
    <w:rsid w:val="005428C5"/>
    <w:rsid w:val="00543C55"/>
    <w:rsid w:val="00546707"/>
    <w:rsid w:val="005524A3"/>
    <w:rsid w:val="005554C7"/>
    <w:rsid w:val="00574D5E"/>
    <w:rsid w:val="00582B99"/>
    <w:rsid w:val="00590903"/>
    <w:rsid w:val="005A7691"/>
    <w:rsid w:val="005B0FC9"/>
    <w:rsid w:val="005B66D3"/>
    <w:rsid w:val="005C4556"/>
    <w:rsid w:val="005C5302"/>
    <w:rsid w:val="005E05E0"/>
    <w:rsid w:val="005E35CD"/>
    <w:rsid w:val="005E362E"/>
    <w:rsid w:val="005E4B48"/>
    <w:rsid w:val="005F6E2B"/>
    <w:rsid w:val="0061109D"/>
    <w:rsid w:val="00612AA0"/>
    <w:rsid w:val="006138CB"/>
    <w:rsid w:val="006224C4"/>
    <w:rsid w:val="006225EA"/>
    <w:rsid w:val="006261DF"/>
    <w:rsid w:val="00633B9C"/>
    <w:rsid w:val="00634577"/>
    <w:rsid w:val="00642074"/>
    <w:rsid w:val="00656B29"/>
    <w:rsid w:val="00670D59"/>
    <w:rsid w:val="00687D00"/>
    <w:rsid w:val="00695E58"/>
    <w:rsid w:val="006A1329"/>
    <w:rsid w:val="006A66F9"/>
    <w:rsid w:val="006D5F37"/>
    <w:rsid w:val="006E4CF0"/>
    <w:rsid w:val="006E5F6E"/>
    <w:rsid w:val="006F6329"/>
    <w:rsid w:val="00710607"/>
    <w:rsid w:val="00712CE1"/>
    <w:rsid w:val="00720DFF"/>
    <w:rsid w:val="007218C0"/>
    <w:rsid w:val="00762CC5"/>
    <w:rsid w:val="00781CBD"/>
    <w:rsid w:val="00783517"/>
    <w:rsid w:val="007906B4"/>
    <w:rsid w:val="007A4FCB"/>
    <w:rsid w:val="007A7F58"/>
    <w:rsid w:val="007C013D"/>
    <w:rsid w:val="007E4A2C"/>
    <w:rsid w:val="007E759D"/>
    <w:rsid w:val="007F49FD"/>
    <w:rsid w:val="00802F29"/>
    <w:rsid w:val="00812471"/>
    <w:rsid w:val="008261A5"/>
    <w:rsid w:val="008314AD"/>
    <w:rsid w:val="0083382E"/>
    <w:rsid w:val="00855325"/>
    <w:rsid w:val="00862E34"/>
    <w:rsid w:val="00865915"/>
    <w:rsid w:val="00871832"/>
    <w:rsid w:val="00886CCE"/>
    <w:rsid w:val="00896B33"/>
    <w:rsid w:val="008A62FB"/>
    <w:rsid w:val="008A77B7"/>
    <w:rsid w:val="008B0F67"/>
    <w:rsid w:val="008C1D82"/>
    <w:rsid w:val="008C608D"/>
    <w:rsid w:val="008D3F67"/>
    <w:rsid w:val="008D454E"/>
    <w:rsid w:val="008E461D"/>
    <w:rsid w:val="008F08E5"/>
    <w:rsid w:val="008F0EA4"/>
    <w:rsid w:val="008F5213"/>
    <w:rsid w:val="009066C5"/>
    <w:rsid w:val="0090748B"/>
    <w:rsid w:val="00920C9C"/>
    <w:rsid w:val="00922754"/>
    <w:rsid w:val="00925781"/>
    <w:rsid w:val="009258D0"/>
    <w:rsid w:val="0093153B"/>
    <w:rsid w:val="00935AB3"/>
    <w:rsid w:val="009734CE"/>
    <w:rsid w:val="00980909"/>
    <w:rsid w:val="00980EDB"/>
    <w:rsid w:val="009864F4"/>
    <w:rsid w:val="0099478D"/>
    <w:rsid w:val="00996E1A"/>
    <w:rsid w:val="009A4414"/>
    <w:rsid w:val="009D24DA"/>
    <w:rsid w:val="009D2D7E"/>
    <w:rsid w:val="009D5738"/>
    <w:rsid w:val="009D5D75"/>
    <w:rsid w:val="009F32A2"/>
    <w:rsid w:val="009F54CE"/>
    <w:rsid w:val="00A06264"/>
    <w:rsid w:val="00A1639A"/>
    <w:rsid w:val="00A202C5"/>
    <w:rsid w:val="00A215C9"/>
    <w:rsid w:val="00A4056C"/>
    <w:rsid w:val="00A46956"/>
    <w:rsid w:val="00A5364B"/>
    <w:rsid w:val="00A546DC"/>
    <w:rsid w:val="00A615E0"/>
    <w:rsid w:val="00A65E2B"/>
    <w:rsid w:val="00A74AA0"/>
    <w:rsid w:val="00A7546D"/>
    <w:rsid w:val="00A77100"/>
    <w:rsid w:val="00AA4D97"/>
    <w:rsid w:val="00AC5F86"/>
    <w:rsid w:val="00AD17B7"/>
    <w:rsid w:val="00AF3723"/>
    <w:rsid w:val="00B077D5"/>
    <w:rsid w:val="00B1598B"/>
    <w:rsid w:val="00B200E4"/>
    <w:rsid w:val="00B35B6D"/>
    <w:rsid w:val="00B35DC6"/>
    <w:rsid w:val="00B51116"/>
    <w:rsid w:val="00B51699"/>
    <w:rsid w:val="00B53FAF"/>
    <w:rsid w:val="00B63153"/>
    <w:rsid w:val="00B6527D"/>
    <w:rsid w:val="00B73B3A"/>
    <w:rsid w:val="00B74507"/>
    <w:rsid w:val="00B747F3"/>
    <w:rsid w:val="00B75718"/>
    <w:rsid w:val="00B75E7E"/>
    <w:rsid w:val="00B92005"/>
    <w:rsid w:val="00B93817"/>
    <w:rsid w:val="00B94727"/>
    <w:rsid w:val="00BA0B96"/>
    <w:rsid w:val="00BB15DA"/>
    <w:rsid w:val="00BB340D"/>
    <w:rsid w:val="00BC2A3A"/>
    <w:rsid w:val="00BC2BCB"/>
    <w:rsid w:val="00BC43AB"/>
    <w:rsid w:val="00BC64EC"/>
    <w:rsid w:val="00BD073D"/>
    <w:rsid w:val="00BE16CD"/>
    <w:rsid w:val="00BE36BB"/>
    <w:rsid w:val="00BF02E7"/>
    <w:rsid w:val="00BF0444"/>
    <w:rsid w:val="00BF3AFD"/>
    <w:rsid w:val="00C00C49"/>
    <w:rsid w:val="00C1606C"/>
    <w:rsid w:val="00C1720E"/>
    <w:rsid w:val="00C20EEA"/>
    <w:rsid w:val="00C23180"/>
    <w:rsid w:val="00C41492"/>
    <w:rsid w:val="00C6469E"/>
    <w:rsid w:val="00C702B5"/>
    <w:rsid w:val="00C70389"/>
    <w:rsid w:val="00C7341F"/>
    <w:rsid w:val="00C904B6"/>
    <w:rsid w:val="00C96DF4"/>
    <w:rsid w:val="00C97C2E"/>
    <w:rsid w:val="00CA43E4"/>
    <w:rsid w:val="00CB08A0"/>
    <w:rsid w:val="00CC00BA"/>
    <w:rsid w:val="00CC1337"/>
    <w:rsid w:val="00CC48DF"/>
    <w:rsid w:val="00CD70E7"/>
    <w:rsid w:val="00CD7363"/>
    <w:rsid w:val="00CE0C1F"/>
    <w:rsid w:val="00CE455F"/>
    <w:rsid w:val="00CE5010"/>
    <w:rsid w:val="00CE687E"/>
    <w:rsid w:val="00CF0163"/>
    <w:rsid w:val="00CF0BF9"/>
    <w:rsid w:val="00CF5957"/>
    <w:rsid w:val="00D04BA2"/>
    <w:rsid w:val="00D077B0"/>
    <w:rsid w:val="00D21234"/>
    <w:rsid w:val="00D22D42"/>
    <w:rsid w:val="00D36D8D"/>
    <w:rsid w:val="00D41712"/>
    <w:rsid w:val="00D45711"/>
    <w:rsid w:val="00D500FC"/>
    <w:rsid w:val="00D51597"/>
    <w:rsid w:val="00D5326E"/>
    <w:rsid w:val="00D55867"/>
    <w:rsid w:val="00D634A3"/>
    <w:rsid w:val="00D72339"/>
    <w:rsid w:val="00D73E47"/>
    <w:rsid w:val="00D74ABB"/>
    <w:rsid w:val="00D8108D"/>
    <w:rsid w:val="00D83CB7"/>
    <w:rsid w:val="00D97FA8"/>
    <w:rsid w:val="00DC1935"/>
    <w:rsid w:val="00DC584B"/>
    <w:rsid w:val="00DC7B25"/>
    <w:rsid w:val="00DD6B73"/>
    <w:rsid w:val="00DE6366"/>
    <w:rsid w:val="00DF0408"/>
    <w:rsid w:val="00E0441E"/>
    <w:rsid w:val="00E112C9"/>
    <w:rsid w:val="00E158F7"/>
    <w:rsid w:val="00E2087E"/>
    <w:rsid w:val="00E347F2"/>
    <w:rsid w:val="00E36818"/>
    <w:rsid w:val="00E47B97"/>
    <w:rsid w:val="00E50D05"/>
    <w:rsid w:val="00E5203C"/>
    <w:rsid w:val="00E61C65"/>
    <w:rsid w:val="00E6326D"/>
    <w:rsid w:val="00E634CC"/>
    <w:rsid w:val="00E82F0E"/>
    <w:rsid w:val="00E96FAC"/>
    <w:rsid w:val="00EA129F"/>
    <w:rsid w:val="00EA4A43"/>
    <w:rsid w:val="00ED0582"/>
    <w:rsid w:val="00ED39A3"/>
    <w:rsid w:val="00EE31F6"/>
    <w:rsid w:val="00EE36DC"/>
    <w:rsid w:val="00F044EE"/>
    <w:rsid w:val="00F3320B"/>
    <w:rsid w:val="00F40E92"/>
    <w:rsid w:val="00F41947"/>
    <w:rsid w:val="00F435AA"/>
    <w:rsid w:val="00F76C6A"/>
    <w:rsid w:val="00F83BF1"/>
    <w:rsid w:val="00F90CB9"/>
    <w:rsid w:val="00F92EAD"/>
    <w:rsid w:val="00F97373"/>
    <w:rsid w:val="00FA6854"/>
    <w:rsid w:val="00FB064F"/>
    <w:rsid w:val="00FB144F"/>
    <w:rsid w:val="00FB159A"/>
    <w:rsid w:val="00FB4D77"/>
    <w:rsid w:val="00FB6E2B"/>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EE4B44"/>
  <w15:docId w15:val="{9C32835E-6548-44EE-B52D-1135737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unternehmen/pressemappe/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info/marktberichte-preistrends"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96A6-7267-4338-9825-A4F0B62C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2022-06-30T10:22:00Z</cp:lastPrinted>
  <dcterms:created xsi:type="dcterms:W3CDTF">2022-07-01T08:29:00Z</dcterms:created>
  <dcterms:modified xsi:type="dcterms:W3CDTF">2022-07-01T08:31:00Z</dcterms:modified>
</cp:coreProperties>
</file>