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99" w:rsidRDefault="00E13A6B">
      <w:pPr>
        <w:spacing w:after="0" w:line="360" w:lineRule="auto"/>
        <w:rPr>
          <w:rFonts w:ascii="Arial" w:eastAsia="Arial" w:hAnsi="Arial" w:cs="Arial"/>
          <w:b/>
          <w:bCs/>
        </w:rPr>
      </w:pPr>
      <w:r>
        <w:rPr>
          <w:rFonts w:ascii="Arial" w:hAnsi="Arial"/>
          <w:b/>
          <w:bCs/>
        </w:rPr>
        <w:t xml:space="preserve">Hamburg: Investment </w:t>
      </w:r>
      <w:r w:rsidR="00AF67DA">
        <w:rPr>
          <w:rFonts w:ascii="Arial" w:hAnsi="Arial"/>
          <w:b/>
          <w:bCs/>
        </w:rPr>
        <w:t>market, 1st-</w:t>
      </w:r>
      <w:r>
        <w:rPr>
          <w:rFonts w:ascii="Arial" w:hAnsi="Arial"/>
          <w:b/>
          <w:bCs/>
        </w:rPr>
        <w:t xml:space="preserve">4th </w:t>
      </w:r>
      <w:r w:rsidR="00AF67DA">
        <w:rPr>
          <w:rFonts w:ascii="Arial" w:hAnsi="Arial"/>
          <w:b/>
          <w:bCs/>
        </w:rPr>
        <w:t>q</w:t>
      </w:r>
      <w:bookmarkStart w:id="0" w:name="_GoBack"/>
      <w:bookmarkEnd w:id="0"/>
      <w:r>
        <w:rPr>
          <w:rFonts w:ascii="Arial" w:hAnsi="Arial"/>
          <w:b/>
          <w:bCs/>
        </w:rPr>
        <w:t>uarters of 2022</w:t>
      </w:r>
    </w:p>
    <w:p w:rsidR="00187899" w:rsidRDefault="00E13A6B">
      <w:pPr>
        <w:spacing w:after="0" w:line="360" w:lineRule="auto"/>
        <w:rPr>
          <w:rFonts w:ascii="Arial" w:eastAsia="Arial" w:hAnsi="Arial" w:cs="Arial"/>
          <w:b/>
          <w:bCs/>
          <w:sz w:val="28"/>
          <w:szCs w:val="28"/>
        </w:rPr>
      </w:pPr>
      <w:r>
        <w:rPr>
          <w:rFonts w:ascii="Arial" w:hAnsi="Arial"/>
          <w:b/>
          <w:bCs/>
          <w:sz w:val="28"/>
          <w:szCs w:val="28"/>
        </w:rPr>
        <w:t>Few large-volume transactions at the end of the year</w:t>
      </w:r>
    </w:p>
    <w:p w:rsidR="00187899" w:rsidRDefault="00187899">
      <w:pPr>
        <w:spacing w:after="0" w:line="360" w:lineRule="auto"/>
        <w:jc w:val="both"/>
        <w:rPr>
          <w:rFonts w:ascii="Arial" w:eastAsia="Arial" w:hAnsi="Arial" w:cs="Arial"/>
          <w:b/>
          <w:bCs/>
          <w:sz w:val="20"/>
          <w:szCs w:val="20"/>
        </w:rPr>
      </w:pPr>
    </w:p>
    <w:p w:rsidR="00187899" w:rsidRDefault="00E13A6B">
      <w:pPr>
        <w:spacing w:after="0" w:line="360" w:lineRule="auto"/>
        <w:rPr>
          <w:rFonts w:ascii="Arial" w:eastAsia="Arial" w:hAnsi="Arial" w:cs="Arial"/>
          <w:sz w:val="20"/>
          <w:szCs w:val="20"/>
        </w:rPr>
      </w:pPr>
      <w:r>
        <w:rPr>
          <w:rFonts w:ascii="Arial" w:hAnsi="Arial"/>
          <w:b/>
          <w:sz w:val="20"/>
          <w:szCs w:val="20"/>
        </w:rPr>
        <w:t>Hamburg, 02 January 2023</w:t>
      </w:r>
      <w:r>
        <w:rPr>
          <w:rFonts w:ascii="Arial" w:hAnsi="Arial"/>
          <w:sz w:val="20"/>
          <w:szCs w:val="20"/>
        </w:rPr>
        <w:t xml:space="preserve"> — The volume of transactions completed on the market for commercial real estate in Hamburg stood at some €4.5bn by the end of the 4th quarter. This represents a year on year increase of 41 %. The overall volume of transactions was thus higher than the 10-year average of some €4.2bn but this apparently record result was the result of certain outlier trades. Apart from the take-over of the </w:t>
      </w:r>
      <w:proofErr w:type="spellStart"/>
      <w:r>
        <w:rPr>
          <w:rFonts w:ascii="Arial" w:hAnsi="Arial"/>
          <w:sz w:val="20"/>
          <w:szCs w:val="20"/>
        </w:rPr>
        <w:t>alstria</w:t>
      </w:r>
      <w:proofErr w:type="spellEnd"/>
      <w:r>
        <w:rPr>
          <w:rFonts w:ascii="Arial" w:hAnsi="Arial"/>
          <w:sz w:val="20"/>
          <w:szCs w:val="20"/>
        </w:rPr>
        <w:t xml:space="preserve"> office REIT AG by Brookfield Properties (1st quarter) the year 2022 featured additional take-overs and sales of shareholdings as opposed to classic asset trades. Discounting outlier transactions, the volume traded totalled only €2.5bn or 22 % below the figure for 2021 and some 41 % below the ten-year average.</w:t>
      </w:r>
    </w:p>
    <w:p w:rsidR="00187899" w:rsidRDefault="00187899">
      <w:pPr>
        <w:spacing w:after="0" w:line="360" w:lineRule="auto"/>
        <w:rPr>
          <w:rFonts w:ascii="Arial" w:eastAsia="Arial" w:hAnsi="Arial" w:cs="Arial"/>
          <w:sz w:val="20"/>
          <w:szCs w:val="20"/>
        </w:rPr>
      </w:pPr>
    </w:p>
    <w:p w:rsidR="00187899" w:rsidRDefault="00E13A6B">
      <w:pPr>
        <w:spacing w:after="0" w:line="360" w:lineRule="auto"/>
        <w:rPr>
          <w:rFonts w:ascii="Arial" w:eastAsia="Arial" w:hAnsi="Arial" w:cs="Arial"/>
          <w:sz w:val="20"/>
          <w:szCs w:val="20"/>
        </w:rPr>
      </w:pPr>
      <w:r>
        <w:rPr>
          <w:rFonts w:ascii="Arial" w:hAnsi="Arial"/>
          <w:sz w:val="20"/>
          <w:szCs w:val="20"/>
        </w:rPr>
        <w:t>Despite the uncertain market environment, more transactions were noted in the 2nd half year than in the firs</w:t>
      </w:r>
      <w:r w:rsidR="00402E7F">
        <w:rPr>
          <w:rFonts w:ascii="Arial" w:hAnsi="Arial"/>
          <w:sz w:val="20"/>
          <w:szCs w:val="20"/>
        </w:rPr>
        <w:t>t. Above all in the 4th quarter</w:t>
      </w:r>
      <w:r>
        <w:rPr>
          <w:rFonts w:ascii="Arial" w:hAnsi="Arial"/>
          <w:sz w:val="20"/>
          <w:szCs w:val="20"/>
        </w:rPr>
        <w:t xml:space="preserve"> these were, however, trades priced at less than €50m. Large-volume individual transactions were rare. Taking the entire year into consideration, 23 % fewer transactions were recorded than in 2021. One notable aspect is that inner-city properties dominated trading in the last quarter. Nearly 40 % of the transactions in the 4th quarter involved inner city real estate. </w:t>
      </w:r>
      <w:r>
        <w:rPr>
          <w:rFonts w:ascii="Arial" w:hAnsi="Arial"/>
          <w:i/>
          <w:sz w:val="20"/>
          <w:szCs w:val="20"/>
        </w:rPr>
        <w:t>“Due to increased interest rates, investors with deep pockets were able to establish themselves as buyers in the 2nd half year, investing in centrally located core real estate with stable value preservation”,</w:t>
      </w:r>
      <w:r>
        <w:rPr>
          <w:rFonts w:ascii="Arial" w:hAnsi="Arial"/>
          <w:sz w:val="20"/>
          <w:szCs w:val="20"/>
        </w:rPr>
        <w:t xml:space="preserve"> comments </w:t>
      </w:r>
      <w:r>
        <w:rPr>
          <w:rFonts w:ascii="Arial" w:hAnsi="Arial"/>
          <w:b/>
          <w:sz w:val="20"/>
          <w:szCs w:val="20"/>
        </w:rPr>
        <w:t>Sandra Ludwig,</w:t>
      </w:r>
      <w:r>
        <w:rPr>
          <w:rFonts w:ascii="Arial" w:hAnsi="Arial"/>
          <w:sz w:val="20"/>
          <w:szCs w:val="20"/>
        </w:rPr>
        <w:t xml:space="preserve"> managing d</w:t>
      </w:r>
      <w:r w:rsidR="00FF1D3B">
        <w:rPr>
          <w:rFonts w:ascii="Arial" w:hAnsi="Arial"/>
          <w:sz w:val="20"/>
          <w:szCs w:val="20"/>
        </w:rPr>
        <w:t>irector of Grossmann &amp; Berger,</w:t>
      </w:r>
      <w:r>
        <w:rPr>
          <w:rFonts w:ascii="Arial" w:hAnsi="Arial"/>
          <w:sz w:val="20"/>
          <w:szCs w:val="20"/>
        </w:rPr>
        <w:t xml:space="preserve"> member of German Property Partners (GPP).</w:t>
      </w:r>
    </w:p>
    <w:p w:rsidR="00187899" w:rsidRDefault="002550B8" w:rsidP="002550B8">
      <w:pPr>
        <w:tabs>
          <w:tab w:val="left" w:pos="7096"/>
        </w:tabs>
        <w:spacing w:after="0" w:line="360" w:lineRule="auto"/>
        <w:rPr>
          <w:rFonts w:ascii="Arial" w:eastAsia="Arial" w:hAnsi="Arial" w:cs="Arial"/>
          <w:sz w:val="20"/>
          <w:szCs w:val="20"/>
        </w:rPr>
      </w:pPr>
      <w:r>
        <w:rPr>
          <w:rFonts w:ascii="Arial" w:eastAsia="Arial" w:hAnsi="Arial" w:cs="Arial"/>
          <w:sz w:val="20"/>
          <w:szCs w:val="20"/>
        </w:rPr>
        <w:tab/>
      </w:r>
    </w:p>
    <w:p w:rsidR="00187899" w:rsidRDefault="006215C8">
      <w:pPr>
        <w:spacing w:after="0" w:line="360" w:lineRule="auto"/>
        <w:rPr>
          <w:rFonts w:ascii="Arial" w:eastAsia="Arial" w:hAnsi="Arial" w:cs="Arial"/>
          <w:sz w:val="20"/>
          <w:szCs w:val="20"/>
        </w:rPr>
      </w:pPr>
      <w:r>
        <w:rPr>
          <w:rFonts w:ascii="Arial" w:hAnsi="Arial"/>
          <w:sz w:val="20"/>
          <w:szCs w:val="20"/>
        </w:rPr>
        <w:t xml:space="preserve">Changes in the base rate and the political situation in Eastern Europe still pose risks and uncertainties for investors and continue to promote caution among institutional investors. </w:t>
      </w:r>
      <w:r>
        <w:rPr>
          <w:rFonts w:ascii="Arial" w:hAnsi="Arial"/>
          <w:b/>
          <w:sz w:val="20"/>
          <w:szCs w:val="20"/>
        </w:rPr>
        <w:t>Ludwig</w:t>
      </w:r>
      <w:r>
        <w:rPr>
          <w:rFonts w:ascii="Arial" w:hAnsi="Arial"/>
          <w:sz w:val="20"/>
          <w:szCs w:val="20"/>
        </w:rPr>
        <w:t xml:space="preserve"> expects trading to be sluggish at the beginning of 2023. </w:t>
      </w:r>
      <w:r>
        <w:rPr>
          <w:rFonts w:ascii="Arial" w:hAnsi="Arial"/>
          <w:i/>
          <w:sz w:val="20"/>
          <w:szCs w:val="20"/>
        </w:rPr>
        <w:t xml:space="preserve">“We expect to see brisker business in the 2nd half of the year because by then, in response to the increased rates of interest, prices will have settled at new levels and investors will be able to make more reliable calculations.” </w:t>
      </w:r>
    </w:p>
    <w:p w:rsidR="00187899" w:rsidRDefault="00E13A6B">
      <w:pPr>
        <w:spacing w:after="0" w:line="360" w:lineRule="auto"/>
        <w:rPr>
          <w:rFonts w:ascii="Arial" w:eastAsia="Arial" w:hAnsi="Arial" w:cs="Arial"/>
          <w:sz w:val="20"/>
          <w:szCs w:val="20"/>
        </w:rPr>
      </w:pPr>
      <w:r>
        <w:rPr>
          <w:rFonts w:ascii="Arial" w:hAnsi="Arial"/>
          <w:i/>
          <w:sz w:val="20"/>
          <w:szCs w:val="20"/>
        </w:rPr>
        <w:t xml:space="preserve">     </w:t>
      </w:r>
    </w:p>
    <w:p w:rsidR="00187899" w:rsidRDefault="00E13A6B">
      <w:pPr>
        <w:spacing w:after="0" w:line="360" w:lineRule="auto"/>
        <w:rPr>
          <w:rFonts w:ascii="Arial" w:eastAsia="Arial" w:hAnsi="Arial" w:cs="Arial"/>
          <w:b/>
          <w:bCs/>
          <w:sz w:val="20"/>
          <w:szCs w:val="20"/>
        </w:rPr>
      </w:pPr>
      <w:r>
        <w:rPr>
          <w:rFonts w:ascii="Arial" w:hAnsi="Arial"/>
          <w:b/>
          <w:bCs/>
          <w:sz w:val="20"/>
          <w:szCs w:val="20"/>
        </w:rPr>
        <w:t xml:space="preserve">Market details: </w:t>
      </w:r>
    </w:p>
    <w:p w:rsidR="00187899" w:rsidRDefault="00E13A6B">
      <w:pPr>
        <w:pStyle w:val="Listenabsatz"/>
        <w:numPr>
          <w:ilvl w:val="0"/>
          <w:numId w:val="2"/>
        </w:numPr>
        <w:spacing w:line="360" w:lineRule="auto"/>
        <w:rPr>
          <w:rFonts w:ascii="Arial" w:hAnsi="Arial"/>
          <w:sz w:val="20"/>
          <w:szCs w:val="20"/>
        </w:rPr>
      </w:pPr>
      <w:r>
        <w:rPr>
          <w:rFonts w:ascii="Arial" w:hAnsi="Arial"/>
          <w:sz w:val="20"/>
          <w:szCs w:val="20"/>
        </w:rPr>
        <w:t xml:space="preserve">Accounting for 78 % of the volume, office properties were the most traded </w:t>
      </w:r>
      <w:r>
        <w:rPr>
          <w:rFonts w:ascii="Arial" w:hAnsi="Arial"/>
          <w:sz w:val="20"/>
          <w:szCs w:val="20"/>
          <w:u w:val="single"/>
        </w:rPr>
        <w:t>class of</w:t>
      </w:r>
      <w:r w:rsidRPr="00A510BE">
        <w:rPr>
          <w:rFonts w:ascii="Arial" w:hAnsi="Arial"/>
          <w:sz w:val="20"/>
          <w:szCs w:val="20"/>
          <w:u w:val="single"/>
        </w:rPr>
        <w:t xml:space="preserve"> </w:t>
      </w:r>
      <w:r>
        <w:rPr>
          <w:rFonts w:ascii="Arial" w:hAnsi="Arial"/>
          <w:sz w:val="20"/>
          <w:szCs w:val="20"/>
          <w:u w:val="single"/>
        </w:rPr>
        <w:t>asset.</w:t>
      </w:r>
      <w:r>
        <w:rPr>
          <w:rFonts w:ascii="Arial" w:hAnsi="Arial"/>
          <w:sz w:val="20"/>
          <w:szCs w:val="20"/>
        </w:rPr>
        <w:t xml:space="preserve"> Their above average share of the market is attributable to the </w:t>
      </w:r>
      <w:proofErr w:type="spellStart"/>
      <w:r>
        <w:rPr>
          <w:rFonts w:ascii="Arial" w:hAnsi="Arial"/>
          <w:sz w:val="20"/>
          <w:szCs w:val="20"/>
        </w:rPr>
        <w:t>alstria</w:t>
      </w:r>
      <w:proofErr w:type="spellEnd"/>
      <w:r>
        <w:rPr>
          <w:rFonts w:ascii="Arial" w:hAnsi="Arial"/>
          <w:sz w:val="20"/>
          <w:szCs w:val="20"/>
        </w:rPr>
        <w:t xml:space="preserve">-Brookfield outlier trade. Second and third places went to retail properties (10 %) and logistics and industrial real estate (6 %). </w:t>
      </w:r>
    </w:p>
    <w:p w:rsidR="00187899" w:rsidRDefault="00E13A6B">
      <w:pPr>
        <w:pStyle w:val="Listenabsatz"/>
        <w:numPr>
          <w:ilvl w:val="0"/>
          <w:numId w:val="2"/>
        </w:numPr>
        <w:spacing w:line="360" w:lineRule="auto"/>
        <w:rPr>
          <w:rFonts w:ascii="Arial" w:hAnsi="Arial"/>
          <w:sz w:val="20"/>
          <w:szCs w:val="20"/>
        </w:rPr>
      </w:pPr>
      <w:r>
        <w:rPr>
          <w:rFonts w:ascii="Arial" w:hAnsi="Arial"/>
          <w:sz w:val="20"/>
          <w:szCs w:val="20"/>
        </w:rPr>
        <w:t xml:space="preserve">Due to the </w:t>
      </w:r>
      <w:proofErr w:type="spellStart"/>
      <w:r>
        <w:rPr>
          <w:rFonts w:ascii="Arial" w:hAnsi="Arial"/>
          <w:sz w:val="20"/>
          <w:szCs w:val="20"/>
        </w:rPr>
        <w:t>alstria</w:t>
      </w:r>
      <w:proofErr w:type="spellEnd"/>
      <w:r>
        <w:rPr>
          <w:rFonts w:ascii="Arial" w:hAnsi="Arial"/>
          <w:sz w:val="20"/>
          <w:szCs w:val="20"/>
        </w:rPr>
        <w:t xml:space="preserve"> take-over, </w:t>
      </w:r>
      <w:r>
        <w:rPr>
          <w:rFonts w:ascii="Arial" w:hAnsi="Arial"/>
          <w:sz w:val="20"/>
          <w:szCs w:val="20"/>
          <w:u w:val="single"/>
        </w:rPr>
        <w:t>portfolio sales</w:t>
      </w:r>
      <w:r>
        <w:rPr>
          <w:rFonts w:ascii="Arial" w:hAnsi="Arial"/>
          <w:sz w:val="20"/>
          <w:szCs w:val="20"/>
        </w:rPr>
        <w:t xml:space="preserve"> generated some 37 % of the total volume traded.</w:t>
      </w:r>
    </w:p>
    <w:p w:rsidR="00187899" w:rsidRDefault="00E13A6B">
      <w:pPr>
        <w:pStyle w:val="Listenabsatz"/>
        <w:numPr>
          <w:ilvl w:val="0"/>
          <w:numId w:val="2"/>
        </w:numPr>
        <w:spacing w:line="360" w:lineRule="auto"/>
        <w:rPr>
          <w:rFonts w:ascii="Arial" w:hAnsi="Arial"/>
          <w:sz w:val="20"/>
          <w:szCs w:val="20"/>
        </w:rPr>
      </w:pPr>
      <w:r>
        <w:rPr>
          <w:rFonts w:ascii="Arial" w:hAnsi="Arial"/>
          <w:sz w:val="20"/>
          <w:szCs w:val="20"/>
        </w:rPr>
        <w:t xml:space="preserve">Accounting for 37 % of the volume traded, fund managers were the most active </w:t>
      </w:r>
      <w:r>
        <w:rPr>
          <w:rFonts w:ascii="Arial" w:hAnsi="Arial"/>
          <w:sz w:val="20"/>
          <w:szCs w:val="20"/>
          <w:u w:val="single"/>
        </w:rPr>
        <w:t>group of buyers</w:t>
      </w:r>
      <w:r>
        <w:rPr>
          <w:rFonts w:ascii="Arial" w:hAnsi="Arial"/>
          <w:sz w:val="20"/>
          <w:szCs w:val="20"/>
        </w:rPr>
        <w:t>. They were followed by specialist funds with 16 % of the market and open-ended property mutual funds with some 14 %.</w:t>
      </w:r>
    </w:p>
    <w:p w:rsidR="00187899" w:rsidRDefault="00E13A6B">
      <w:pPr>
        <w:pStyle w:val="Listenabsatz"/>
        <w:numPr>
          <w:ilvl w:val="0"/>
          <w:numId w:val="2"/>
        </w:numPr>
        <w:spacing w:line="360" w:lineRule="auto"/>
        <w:rPr>
          <w:rFonts w:ascii="Arial" w:hAnsi="Arial"/>
          <w:sz w:val="20"/>
          <w:szCs w:val="20"/>
        </w:rPr>
      </w:pPr>
      <w:r>
        <w:rPr>
          <w:rFonts w:ascii="Arial" w:hAnsi="Arial"/>
          <w:sz w:val="20"/>
          <w:szCs w:val="20"/>
        </w:rPr>
        <w:t xml:space="preserve">Due to the </w:t>
      </w:r>
      <w:proofErr w:type="spellStart"/>
      <w:r>
        <w:rPr>
          <w:rFonts w:ascii="Arial" w:hAnsi="Arial"/>
          <w:sz w:val="20"/>
          <w:szCs w:val="20"/>
        </w:rPr>
        <w:t>alstria</w:t>
      </w:r>
      <w:proofErr w:type="spellEnd"/>
      <w:r>
        <w:rPr>
          <w:rFonts w:ascii="Arial" w:hAnsi="Arial"/>
          <w:sz w:val="20"/>
          <w:szCs w:val="20"/>
        </w:rPr>
        <w:t xml:space="preserve"> take-over, listed real estate investment AGs/REITS were the strongest </w:t>
      </w:r>
      <w:r>
        <w:rPr>
          <w:rFonts w:ascii="Arial" w:hAnsi="Arial"/>
          <w:sz w:val="20"/>
          <w:szCs w:val="20"/>
          <w:u w:val="single"/>
        </w:rPr>
        <w:t>group of vendors</w:t>
      </w:r>
      <w:r>
        <w:rPr>
          <w:rFonts w:ascii="Arial" w:hAnsi="Arial"/>
          <w:sz w:val="20"/>
          <w:szCs w:val="20"/>
        </w:rPr>
        <w:t>, accounting for some 38 % of the market. They were followed by developers (21 %) and, in third place, open-ended property mutual funds (17 %).</w:t>
      </w:r>
    </w:p>
    <w:p w:rsidR="00187899" w:rsidRDefault="00E13A6B" w:rsidP="00583417">
      <w:pPr>
        <w:pStyle w:val="Listenabsatz"/>
        <w:numPr>
          <w:ilvl w:val="0"/>
          <w:numId w:val="2"/>
        </w:numPr>
        <w:spacing w:line="360" w:lineRule="auto"/>
        <w:rPr>
          <w:rFonts w:ascii="Arial" w:hAnsi="Arial"/>
          <w:sz w:val="20"/>
          <w:szCs w:val="20"/>
        </w:rPr>
      </w:pPr>
      <w:r>
        <w:rPr>
          <w:rFonts w:ascii="Arial" w:hAnsi="Arial"/>
          <w:sz w:val="20"/>
          <w:szCs w:val="20"/>
          <w:u w:val="single"/>
        </w:rPr>
        <w:lastRenderedPageBreak/>
        <w:t>International investors</w:t>
      </w:r>
      <w:r>
        <w:rPr>
          <w:rFonts w:ascii="Arial" w:hAnsi="Arial"/>
          <w:sz w:val="20"/>
          <w:szCs w:val="20"/>
        </w:rPr>
        <w:t xml:space="preserve"> comprised around 50 % of the market. If the </w:t>
      </w:r>
      <w:proofErr w:type="spellStart"/>
      <w:r>
        <w:rPr>
          <w:rFonts w:ascii="Arial" w:hAnsi="Arial"/>
          <w:sz w:val="20"/>
          <w:szCs w:val="20"/>
        </w:rPr>
        <w:t>alstria</w:t>
      </w:r>
      <w:proofErr w:type="spellEnd"/>
      <w:r>
        <w:rPr>
          <w:rFonts w:ascii="Arial" w:hAnsi="Arial"/>
          <w:sz w:val="20"/>
          <w:szCs w:val="20"/>
        </w:rPr>
        <w:t xml:space="preserve">-Brookfield trade is factored out, their share drops to 25 %. </w:t>
      </w:r>
    </w:p>
    <w:p w:rsidR="00D00D59" w:rsidRPr="00163D76" w:rsidRDefault="00E13A6B" w:rsidP="00163D76">
      <w:pPr>
        <w:pStyle w:val="Listenabsatz"/>
        <w:numPr>
          <w:ilvl w:val="0"/>
          <w:numId w:val="2"/>
        </w:numPr>
        <w:spacing w:line="360" w:lineRule="auto"/>
        <w:rPr>
          <w:rFonts w:ascii="Arial" w:hAnsi="Arial"/>
          <w:sz w:val="20"/>
          <w:szCs w:val="20"/>
        </w:rPr>
      </w:pPr>
      <w:r>
        <w:rPr>
          <w:rFonts w:ascii="Arial" w:hAnsi="Arial"/>
          <w:sz w:val="20"/>
          <w:szCs w:val="20"/>
        </w:rPr>
        <w:t xml:space="preserve">Because interest rates were high, </w:t>
      </w:r>
      <w:r>
        <w:rPr>
          <w:rFonts w:ascii="Arial" w:hAnsi="Arial"/>
          <w:sz w:val="20"/>
          <w:szCs w:val="20"/>
          <w:u w:val="single"/>
        </w:rPr>
        <w:t>prime yields</w:t>
      </w:r>
      <w:r>
        <w:rPr>
          <w:rFonts w:ascii="Arial" w:hAnsi="Arial"/>
          <w:sz w:val="20"/>
          <w:szCs w:val="20"/>
        </w:rPr>
        <w:t xml:space="preserve"> on every type of asset rose too. Year on year growth of 0.5 percentage points was noted for office properties (3.10 %) and commercial buildings (3.20 %). Prime yields on industrial and logistics properties rose by 0.30 percentage points to 3.80 %.</w:t>
      </w:r>
    </w:p>
    <w:tbl>
      <w:tblPr>
        <w:tblStyle w:val="TableNormal"/>
        <w:tblpPr w:leftFromText="141" w:rightFromText="141" w:vertAnchor="text" w:tblpY="284"/>
        <w:tblW w:w="49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4"/>
        <w:gridCol w:w="993"/>
      </w:tblGrid>
      <w:tr w:rsidR="00727EAF" w:rsidTr="00727EAF">
        <w:trPr>
          <w:trHeight w:val="257"/>
        </w:trPr>
        <w:tc>
          <w:tcPr>
            <w:tcW w:w="396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727EAF" w:rsidRDefault="00727EAF" w:rsidP="00727EAF">
            <w:pPr>
              <w:widowControl w:val="0"/>
              <w:spacing w:before="60" w:after="60"/>
              <w:jc w:val="both"/>
            </w:pPr>
            <w:r>
              <w:rPr>
                <w:rFonts w:ascii="Arial" w:hAnsi="Arial"/>
                <w:b/>
                <w:bCs/>
                <w:color w:val="FFFFFF"/>
                <w:sz w:val="20"/>
                <w:szCs w:val="20"/>
                <w:u w:color="FFFFFF"/>
              </w:rPr>
              <w:t>Investment market | Hamburg</w:t>
            </w:r>
            <w:r>
              <w:rPr>
                <w:color w:val="FFFFFF"/>
                <w:u w:color="FFFFFF"/>
              </w:rPr>
              <w:t xml:space="preserve"> </w:t>
            </w:r>
            <w:r>
              <w:rPr>
                <w:rFonts w:ascii="Arial" w:hAnsi="Arial"/>
                <w:b/>
                <w:bCs/>
                <w:color w:val="FFFFFF"/>
                <w:sz w:val="20"/>
                <w:szCs w:val="20"/>
                <w:u w:color="FFFFFF"/>
              </w:rPr>
              <w:t>| 2022</w:t>
            </w:r>
          </w:p>
        </w:tc>
        <w:tc>
          <w:tcPr>
            <w:tcW w:w="99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727EAF" w:rsidRDefault="00FF1D3B" w:rsidP="00727EAF">
            <w:pPr>
              <w:widowControl w:val="0"/>
              <w:spacing w:before="60" w:after="60"/>
              <w:jc w:val="center"/>
            </w:pPr>
            <w:r>
              <w:rPr>
                <w:rFonts w:ascii="Arial" w:hAnsi="Arial"/>
                <w:b/>
                <w:bCs/>
                <w:color w:val="FFFFFF"/>
                <w:sz w:val="18"/>
                <w:szCs w:val="18"/>
                <w:u w:color="FFFFFF"/>
              </w:rPr>
              <w:t>Q1</w:t>
            </w:r>
            <w:r w:rsidR="00727EAF">
              <w:rPr>
                <w:rFonts w:ascii="Arial" w:hAnsi="Arial"/>
                <w:b/>
                <w:bCs/>
                <w:color w:val="FFFFFF"/>
                <w:sz w:val="18"/>
                <w:szCs w:val="18"/>
                <w:u w:color="FFFFFF"/>
              </w:rPr>
              <w:t>-4</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 xml:space="preserve">Transaction volume </w:t>
            </w:r>
            <w:r>
              <w:rPr>
                <w:rFonts w:ascii="Arial" w:hAnsi="Arial"/>
                <w:sz w:val="18"/>
                <w:szCs w:val="18"/>
              </w:rPr>
              <w:t>[€ millions]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4,500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sz w:val="18"/>
                <w:szCs w:val="18"/>
              </w:rPr>
              <w:t xml:space="preserve">against prior </w:t>
            </w:r>
            <w:proofErr w:type="spellStart"/>
            <w:r>
              <w:rPr>
                <w:rFonts w:ascii="Arial" w:hAnsi="Arial"/>
                <w:sz w:val="18"/>
                <w:szCs w:val="18"/>
              </w:rPr>
              <w:t>yr</w:t>
            </w:r>
            <w:proofErr w:type="spellEnd"/>
            <w:r>
              <w:rPr>
                <w:rFonts w:ascii="Arial" w:hAnsi="Arial"/>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+41</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sz w:val="18"/>
                <w:szCs w:val="18"/>
              </w:rPr>
              <w:t>Proportion of international investors</w:t>
            </w:r>
            <w:r>
              <w:rPr>
                <w:rFonts w:ascii="Arial" w:hAnsi="Arial"/>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50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sz w:val="18"/>
                <w:szCs w:val="18"/>
              </w:rPr>
              <w:t>Prime net yield, office</w:t>
            </w:r>
            <w:r>
              <w:rPr>
                <w:rFonts w:ascii="Arial" w:hAnsi="Arial"/>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3.10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sz w:val="18"/>
                <w:szCs w:val="18"/>
              </w:rPr>
              <w:t xml:space="preserve">against prior </w:t>
            </w:r>
            <w:proofErr w:type="spellStart"/>
            <w:r>
              <w:rPr>
                <w:rFonts w:ascii="Arial" w:hAnsi="Arial"/>
                <w:sz w:val="18"/>
                <w:szCs w:val="18"/>
              </w:rPr>
              <w:t>yr</w:t>
            </w:r>
            <w:proofErr w:type="spellEnd"/>
            <w:r>
              <w:rPr>
                <w:rFonts w:ascii="Arial" w:hAnsi="Arial"/>
                <w:sz w:val="18"/>
                <w:szCs w:val="18"/>
              </w:rPr>
              <w:t xml:space="preserve"> [percentage points]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+0.50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sz w:val="18"/>
                <w:szCs w:val="18"/>
              </w:rPr>
              <w:t>Prime net yield, commercial buildings</w:t>
            </w:r>
            <w:r>
              <w:rPr>
                <w:rFonts w:ascii="Arial" w:hAnsi="Arial"/>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3.20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sz w:val="18"/>
                <w:szCs w:val="18"/>
              </w:rPr>
              <w:t xml:space="preserve">against prior </w:t>
            </w:r>
            <w:proofErr w:type="spellStart"/>
            <w:r>
              <w:rPr>
                <w:rFonts w:ascii="Arial" w:hAnsi="Arial"/>
                <w:sz w:val="18"/>
                <w:szCs w:val="18"/>
              </w:rPr>
              <w:t>yr</w:t>
            </w:r>
            <w:proofErr w:type="spellEnd"/>
            <w:r>
              <w:rPr>
                <w:rFonts w:ascii="Arial" w:hAnsi="Arial"/>
                <w:sz w:val="18"/>
                <w:szCs w:val="18"/>
              </w:rPr>
              <w:t xml:space="preserve"> [percentage points]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+0.50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sz w:val="18"/>
                <w:szCs w:val="18"/>
              </w:rPr>
              <w:t>Prime net yield, logistics properties</w:t>
            </w:r>
            <w:r>
              <w:rPr>
                <w:rFonts w:ascii="Arial" w:hAnsi="Arial"/>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3.80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sz w:val="18"/>
                <w:szCs w:val="18"/>
              </w:rPr>
              <w:t xml:space="preserve">against prior </w:t>
            </w:r>
            <w:proofErr w:type="spellStart"/>
            <w:r>
              <w:rPr>
                <w:rFonts w:ascii="Arial" w:hAnsi="Arial"/>
                <w:sz w:val="18"/>
                <w:szCs w:val="18"/>
              </w:rPr>
              <w:t>yr</w:t>
            </w:r>
            <w:proofErr w:type="spellEnd"/>
            <w:r>
              <w:rPr>
                <w:rFonts w:ascii="Arial" w:hAnsi="Arial"/>
                <w:sz w:val="18"/>
                <w:szCs w:val="18"/>
              </w:rPr>
              <w:t xml:space="preserve"> [percentage points]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+0.30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Strongest asset class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Offices</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sz w:val="18"/>
                <w:szCs w:val="18"/>
              </w:rPr>
              <w:t>Strongest asset class</w:t>
            </w:r>
            <w:r>
              <w:rPr>
                <w:rFonts w:ascii="Arial" w:hAnsi="Arial"/>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78</w:t>
            </w:r>
          </w:p>
        </w:tc>
      </w:tr>
    </w:tbl>
    <w:p w:rsidR="00187899" w:rsidRDefault="00820F1F" w:rsidP="00163D76">
      <w:pPr>
        <w:spacing w:after="0" w:line="360" w:lineRule="auto"/>
        <w:rPr>
          <w:rFonts w:ascii="Arial" w:eastAsia="Arial" w:hAnsi="Arial" w:cs="Arial"/>
          <w:sz w:val="20"/>
          <w:szCs w:val="20"/>
        </w:rPr>
      </w:pPr>
      <w:r>
        <w:rPr>
          <w:noProof/>
          <w:lang w:val="de-DE"/>
        </w:rPr>
        <w:drawing>
          <wp:anchor distT="0" distB="0" distL="0" distR="0" simplePos="0" relativeHeight="251659264" behindDoc="0" locked="0" layoutInCell="1" allowOverlap="1">
            <wp:simplePos x="0" y="0"/>
            <wp:positionH relativeFrom="page">
              <wp:posOffset>4223204</wp:posOffset>
            </wp:positionH>
            <wp:positionV relativeFrom="line">
              <wp:posOffset>182153</wp:posOffset>
            </wp:positionV>
            <wp:extent cx="2542852" cy="2245360"/>
            <wp:effectExtent l="19050" t="19050" r="10160" b="21590"/>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Grafik 4" descr="Grafik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852" cy="2245360"/>
                    </a:xfrm>
                    <a:prstGeom prst="rect">
                      <a:avLst/>
                    </a:prstGeom>
                    <a:ln w="3175" cap="flat">
                      <a:solidFill>
                        <a:srgbClr val="000000"/>
                      </a:solidFill>
                      <a:prstDash val="solid"/>
                      <a:round/>
                    </a:ln>
                    <a:effectLst/>
                  </pic:spPr>
                </pic:pic>
              </a:graphicData>
            </a:graphic>
            <wp14:sizeRelH relativeFrom="margin">
              <wp14:pctWidth>0</wp14:pctWidth>
            </wp14:sizeRelH>
            <wp14:sizeRelV relativeFrom="margin">
              <wp14:pctHeight>0</wp14:pctHeight>
            </wp14:sizeRelV>
          </wp:anchor>
        </w:drawing>
      </w:r>
    </w:p>
    <w:p w:rsidR="00187899" w:rsidRDefault="00187899"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A510BE" w:rsidRDefault="00A510BE">
      <w:pPr>
        <w:spacing w:after="0"/>
        <w:rPr>
          <w:rFonts w:ascii="Arial" w:eastAsia="Arial" w:hAnsi="Arial" w:cs="Arial"/>
          <w:b/>
          <w:bCs/>
          <w:sz w:val="20"/>
          <w:szCs w:val="20"/>
        </w:rPr>
      </w:pPr>
      <w:r>
        <w:rPr>
          <w:rFonts w:ascii="Arial" w:eastAsia="Arial" w:hAnsi="Arial" w:cs="Arial"/>
          <w:b/>
          <w:bCs/>
          <w:sz w:val="20"/>
          <w:szCs w:val="20"/>
        </w:rPr>
        <w:br w:type="page"/>
      </w:r>
    </w:p>
    <w:p w:rsidR="00820F1F" w:rsidRDefault="00820F1F" w:rsidP="00163D76">
      <w:pPr>
        <w:rPr>
          <w:rFonts w:ascii="Arial" w:eastAsia="Arial" w:hAnsi="Arial" w:cs="Arial"/>
          <w:b/>
          <w:bCs/>
          <w:sz w:val="20"/>
          <w:szCs w:val="20"/>
        </w:rPr>
      </w:pPr>
    </w:p>
    <w:p w:rsidR="00187899" w:rsidRDefault="00E13A6B" w:rsidP="00163D76">
      <w:pPr>
        <w:rPr>
          <w:rFonts w:ascii="Arial" w:eastAsia="Arial" w:hAnsi="Arial" w:cs="Arial"/>
          <w:b/>
          <w:bCs/>
          <w:sz w:val="20"/>
          <w:szCs w:val="20"/>
        </w:rPr>
      </w:pPr>
      <w:r>
        <w:rPr>
          <w:rFonts w:ascii="Arial" w:hAnsi="Arial"/>
          <w:b/>
          <w:bCs/>
          <w:sz w:val="20"/>
          <w:szCs w:val="20"/>
        </w:rPr>
        <w:t xml:space="preserve">Selected top transactions | investments in Hamburg | </w:t>
      </w:r>
      <w:r w:rsidR="00FF1D3B" w:rsidRPr="00FF1D3B">
        <w:rPr>
          <w:rFonts w:ascii="Arial" w:hAnsi="Arial"/>
          <w:b/>
          <w:bCs/>
          <w:sz w:val="20"/>
          <w:szCs w:val="20"/>
        </w:rPr>
        <w:t>Q1-4</w:t>
      </w:r>
      <w:r>
        <w:rPr>
          <w:rFonts w:ascii="Arial" w:hAnsi="Arial"/>
          <w:b/>
          <w:bCs/>
          <w:sz w:val="20"/>
          <w:szCs w:val="20"/>
        </w:rPr>
        <w:t xml:space="preserve"> 2022</w:t>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0"/>
        <w:gridCol w:w="1257"/>
        <w:gridCol w:w="1256"/>
        <w:gridCol w:w="1676"/>
        <w:gridCol w:w="1816"/>
        <w:gridCol w:w="1117"/>
      </w:tblGrid>
      <w:tr w:rsidR="00187899">
        <w:trPr>
          <w:trHeight w:val="464"/>
        </w:trPr>
        <w:tc>
          <w:tcPr>
            <w:tcW w:w="250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187899" w:rsidRDefault="00E13A6B">
            <w:pPr>
              <w:spacing w:after="0"/>
              <w:jc w:val="center"/>
              <w:rPr>
                <w:rFonts w:ascii="Arial" w:eastAsia="Arial" w:hAnsi="Arial" w:cs="Arial"/>
                <w:b/>
                <w:bCs/>
                <w:color w:val="FFFFFF"/>
                <w:sz w:val="18"/>
                <w:szCs w:val="18"/>
                <w:u w:color="FFFFFF"/>
              </w:rPr>
            </w:pPr>
            <w:r>
              <w:rPr>
                <w:rFonts w:ascii="Arial" w:hAnsi="Arial"/>
                <w:b/>
                <w:bCs/>
                <w:color w:val="FFFFFF"/>
                <w:sz w:val="18"/>
                <w:szCs w:val="18"/>
                <w:u w:color="FFFFFF"/>
              </w:rPr>
              <w:t>Project/property</w:t>
            </w:r>
          </w:p>
          <w:p w:rsidR="00187899" w:rsidRDefault="00E13A6B">
            <w:pPr>
              <w:spacing w:after="0"/>
              <w:jc w:val="center"/>
            </w:pPr>
            <w:r>
              <w:rPr>
                <w:rFonts w:ascii="Arial" w:hAnsi="Arial"/>
                <w:b/>
                <w:bCs/>
                <w:color w:val="FFFFFF"/>
                <w:sz w:val="18"/>
                <w:szCs w:val="18"/>
                <w:u w:color="FFFFFF"/>
              </w:rPr>
              <w:t>Street no.</w:t>
            </w:r>
          </w:p>
        </w:tc>
        <w:tc>
          <w:tcPr>
            <w:tcW w:w="125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87899" w:rsidRDefault="00E13A6B">
            <w:pPr>
              <w:widowControl w:val="0"/>
              <w:spacing w:before="60" w:after="144"/>
              <w:jc w:val="center"/>
            </w:pPr>
            <w:r>
              <w:rPr>
                <w:rFonts w:ascii="Arial" w:hAnsi="Arial"/>
                <w:b/>
                <w:bCs/>
                <w:color w:val="FFFFFF"/>
                <w:sz w:val="18"/>
                <w:szCs w:val="18"/>
                <w:u w:color="FFFFFF"/>
              </w:rPr>
              <w:br/>
              <w:t>Sub-market</w:t>
            </w:r>
          </w:p>
        </w:tc>
        <w:tc>
          <w:tcPr>
            <w:tcW w:w="125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87899" w:rsidRDefault="00E13A6B">
            <w:pPr>
              <w:widowControl w:val="0"/>
              <w:spacing w:before="60" w:after="144"/>
              <w:jc w:val="center"/>
            </w:pPr>
            <w:r>
              <w:rPr>
                <w:rFonts w:ascii="Arial" w:hAnsi="Arial"/>
                <w:b/>
                <w:bCs/>
                <w:color w:val="FFFFFF"/>
                <w:sz w:val="18"/>
                <w:szCs w:val="18"/>
                <w:u w:color="FFFFFF"/>
              </w:rPr>
              <w:br/>
              <w:t>Asset class</w:t>
            </w:r>
          </w:p>
        </w:tc>
        <w:tc>
          <w:tcPr>
            <w:tcW w:w="167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187899" w:rsidRDefault="00E13A6B">
            <w:pPr>
              <w:widowControl w:val="0"/>
              <w:spacing w:before="60" w:after="144"/>
              <w:jc w:val="center"/>
            </w:pPr>
            <w:r>
              <w:rPr>
                <w:rFonts w:ascii="Arial" w:hAnsi="Arial"/>
                <w:b/>
                <w:bCs/>
                <w:color w:val="FFFFFF"/>
                <w:sz w:val="18"/>
                <w:szCs w:val="18"/>
                <w:u w:color="FFFFFF"/>
              </w:rPr>
              <w:t>Buyer/investor</w:t>
            </w:r>
          </w:p>
        </w:tc>
        <w:tc>
          <w:tcPr>
            <w:tcW w:w="181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187899" w:rsidRDefault="00E13A6B">
            <w:pPr>
              <w:widowControl w:val="0"/>
              <w:spacing w:before="60" w:after="144"/>
              <w:jc w:val="center"/>
            </w:pPr>
            <w:r>
              <w:rPr>
                <w:rFonts w:ascii="Arial" w:hAnsi="Arial"/>
                <w:b/>
                <w:bCs/>
                <w:color w:val="FFFFFF"/>
                <w:sz w:val="18"/>
                <w:szCs w:val="18"/>
                <w:u w:color="FFFFFF"/>
              </w:rPr>
              <w:t>Vendor</w:t>
            </w:r>
          </w:p>
        </w:tc>
        <w:tc>
          <w:tcPr>
            <w:tcW w:w="111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187899" w:rsidRDefault="00E13A6B">
            <w:pPr>
              <w:widowControl w:val="0"/>
              <w:spacing w:before="60" w:after="0"/>
              <w:jc w:val="center"/>
              <w:rPr>
                <w:rFonts w:ascii="Arial" w:eastAsia="Arial" w:hAnsi="Arial" w:cs="Arial"/>
                <w:b/>
                <w:bCs/>
                <w:color w:val="FFFFFF"/>
                <w:sz w:val="18"/>
                <w:szCs w:val="18"/>
                <w:u w:color="FFFFFF"/>
              </w:rPr>
            </w:pPr>
            <w:r>
              <w:rPr>
                <w:rFonts w:ascii="Arial" w:hAnsi="Arial"/>
                <w:b/>
                <w:bCs/>
                <w:color w:val="FFFFFF"/>
                <w:sz w:val="18"/>
                <w:szCs w:val="18"/>
                <w:u w:color="FFFFFF"/>
              </w:rPr>
              <w:t>Purchase price*</w:t>
            </w:r>
          </w:p>
          <w:p w:rsidR="00187899" w:rsidRDefault="00E13A6B">
            <w:pPr>
              <w:widowControl w:val="0"/>
              <w:spacing w:before="60" w:after="0"/>
              <w:jc w:val="center"/>
            </w:pPr>
            <w:r>
              <w:rPr>
                <w:rFonts w:ascii="Arial" w:hAnsi="Arial"/>
                <w:color w:val="FFFFFF"/>
                <w:sz w:val="18"/>
                <w:szCs w:val="18"/>
                <w:u w:color="FFFFFF"/>
              </w:rPr>
              <w:t>[approx. €m]</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alstria</w:t>
            </w:r>
            <w:proofErr w:type="spellEnd"/>
            <w:r>
              <w:rPr>
                <w:rFonts w:ascii="Arial" w:hAnsi="Arial"/>
                <w:sz w:val="18"/>
                <w:szCs w:val="18"/>
              </w:rPr>
              <w:t xml:space="preserve"> office” portfolio</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 xml:space="preserve">Hamburg </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Offices</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Brookfield Properties</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alstria</w:t>
            </w:r>
            <w:proofErr w:type="spellEnd"/>
            <w:r>
              <w:rPr>
                <w:rFonts w:ascii="Arial" w:hAnsi="Arial"/>
                <w:sz w:val="18"/>
                <w:szCs w:val="18"/>
              </w:rPr>
              <w:t xml:space="preserve"> office REIT AG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1,500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Altes</w:t>
            </w:r>
            <w:proofErr w:type="spellEnd"/>
            <w:r>
              <w:rPr>
                <w:rFonts w:ascii="Arial" w:hAnsi="Arial"/>
                <w:sz w:val="18"/>
                <w:szCs w:val="18"/>
              </w:rPr>
              <w:t xml:space="preserve"> </w:t>
            </w:r>
            <w:proofErr w:type="spellStart"/>
            <w:r>
              <w:rPr>
                <w:rFonts w:ascii="Arial" w:hAnsi="Arial"/>
                <w:sz w:val="18"/>
                <w:szCs w:val="18"/>
              </w:rPr>
              <w:t>Fernmeldeamt</w:t>
            </w:r>
            <w:proofErr w:type="spellEnd"/>
            <w:r>
              <w:rPr>
                <w:rFonts w:ascii="Arial" w:hAnsi="Arial"/>
                <w:sz w:val="18"/>
                <w:szCs w:val="18"/>
              </w:rPr>
              <w: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Alster</w:t>
            </w:r>
            <w:proofErr w:type="spellEnd"/>
            <w:r>
              <w:rPr>
                <w:rFonts w:ascii="Arial" w:hAnsi="Arial"/>
                <w:sz w:val="18"/>
                <w:szCs w:val="18"/>
              </w:rPr>
              <w:t xml:space="preserve"> West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Offices</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Values Real Estate</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Peakside</w:t>
            </w:r>
            <w:proofErr w:type="spellEnd"/>
            <w:r>
              <w:rPr>
                <w:rFonts w:ascii="Arial" w:hAnsi="Arial"/>
                <w:sz w:val="18"/>
                <w:szCs w:val="18"/>
              </w:rPr>
              <w:t xml:space="preserve"> Capital</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400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ConneXion</w:t>
            </w:r>
            <w:proofErr w:type="spellEnd"/>
            <w:r>
              <w:rPr>
                <w:rFonts w:ascii="Arial" w:hAnsi="Arial"/>
                <w:sz w:val="18"/>
                <w:szCs w:val="18"/>
              </w:rPr>
              <w:t xml:space="preserve"> Office”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City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Offices</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Erste</w:t>
            </w:r>
            <w:proofErr w:type="spellEnd"/>
            <w:r>
              <w:rPr>
                <w:rFonts w:ascii="Arial" w:hAnsi="Arial"/>
                <w:sz w:val="18"/>
                <w:szCs w:val="18"/>
              </w:rPr>
              <w:t xml:space="preserve"> </w:t>
            </w:r>
            <w:proofErr w:type="spellStart"/>
            <w:r>
              <w:rPr>
                <w:rFonts w:ascii="Arial" w:hAnsi="Arial"/>
                <w:sz w:val="18"/>
                <w:szCs w:val="18"/>
              </w:rPr>
              <w:t>Immobilien</w:t>
            </w:r>
            <w:proofErr w:type="spellEnd"/>
            <w:r>
              <w:rPr>
                <w:rFonts w:ascii="Arial" w:hAnsi="Arial"/>
                <w:sz w:val="18"/>
                <w:szCs w:val="18"/>
              </w:rPr>
              <w:t xml:space="preserve"> KAG</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Becken</w:t>
            </w:r>
            <w:proofErr w:type="spellEnd"/>
            <w:r>
              <w:rPr>
                <w:rFonts w:ascii="Arial" w:hAnsi="Arial"/>
                <w:sz w:val="18"/>
                <w:szCs w:val="18"/>
              </w:rPr>
              <w:t xml:space="preserve"> Development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±150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Klöpperhaus</w:t>
            </w:r>
            <w:proofErr w:type="spellEnd"/>
            <w:r>
              <w:rPr>
                <w:rFonts w:ascii="Arial" w:hAnsi="Arial"/>
                <w:sz w:val="18"/>
                <w:szCs w:val="18"/>
              </w:rPr>
              <w:t>”</w:t>
            </w:r>
            <w:r>
              <w:rPr>
                <w:rFonts w:ascii="Arial" w:hAnsi="Arial"/>
                <w:sz w:val="18"/>
                <w:szCs w:val="18"/>
              </w:rPr>
              <w:br/>
              <w:t xml:space="preserve">(formerly </w:t>
            </w:r>
            <w:proofErr w:type="spellStart"/>
            <w:r>
              <w:rPr>
                <w:rFonts w:ascii="Arial" w:hAnsi="Arial"/>
                <w:sz w:val="18"/>
                <w:szCs w:val="18"/>
              </w:rPr>
              <w:t>Galeria</w:t>
            </w:r>
            <w:proofErr w:type="spellEnd"/>
            <w:r>
              <w:rPr>
                <w:rFonts w:ascii="Arial" w:hAnsi="Arial"/>
                <w:sz w:val="18"/>
                <w:szCs w:val="18"/>
              </w:rPr>
              <w:t xml:space="preserve"> </w:t>
            </w:r>
            <w:proofErr w:type="spellStart"/>
            <w:r>
              <w:rPr>
                <w:rFonts w:ascii="Arial" w:hAnsi="Arial"/>
                <w:sz w:val="18"/>
                <w:szCs w:val="18"/>
              </w:rPr>
              <w:t>Kaufhof</w:t>
            </w:r>
            <w:proofErr w:type="spellEnd"/>
            <w:r>
              <w:rPr>
                <w:rFonts w:ascii="Arial" w:hAnsi="Arial"/>
                <w:sz w:val="18"/>
                <w:szCs w:val="18"/>
              </w:rPr>
              <w: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City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Retail</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Tishman</w:t>
            </w:r>
            <w:proofErr w:type="spellEnd"/>
            <w:r>
              <w:rPr>
                <w:rFonts w:ascii="Arial" w:hAnsi="Arial"/>
                <w:sz w:val="18"/>
                <w:szCs w:val="18"/>
              </w:rPr>
              <w:t xml:space="preserve"> Speyer</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Württembergische</w:t>
            </w:r>
            <w:proofErr w:type="spellEnd"/>
            <w:r>
              <w:rPr>
                <w:rFonts w:ascii="Arial" w:hAnsi="Arial"/>
                <w:sz w:val="18"/>
                <w:szCs w:val="18"/>
              </w:rPr>
              <w:t xml:space="preserve"> </w:t>
            </w:r>
            <w:proofErr w:type="spellStart"/>
            <w:r>
              <w:rPr>
                <w:rFonts w:ascii="Arial" w:hAnsi="Arial"/>
                <w:sz w:val="18"/>
                <w:szCs w:val="18"/>
              </w:rPr>
              <w:t>Lebensversicherung</w:t>
            </w:r>
            <w:proofErr w:type="spellEnd"/>
            <w:r>
              <w:rPr>
                <w:rFonts w:ascii="Arial" w:hAnsi="Arial"/>
                <w:sz w:val="18"/>
                <w:szCs w:val="18"/>
              </w:rPr>
              <w:t xml:space="preserve"> (insurance co.)</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±160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Georgstor</w:t>
            </w:r>
            <w:proofErr w:type="spellEnd"/>
            <w:r>
              <w:rPr>
                <w:rFonts w:ascii="Arial" w:hAnsi="Arial"/>
                <w:sz w:val="18"/>
                <w:szCs w:val="18"/>
              </w:rPr>
              <w: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St. Georg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Offices</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 xml:space="preserve">Hines </w:t>
            </w:r>
            <w:proofErr w:type="spellStart"/>
            <w:r>
              <w:rPr>
                <w:rFonts w:ascii="Arial" w:hAnsi="Arial"/>
                <w:sz w:val="18"/>
                <w:szCs w:val="18"/>
              </w:rPr>
              <w:t>Immobilien</w:t>
            </w:r>
            <w:proofErr w:type="spellEnd"/>
            <w:r>
              <w:rPr>
                <w:rFonts w:ascii="Arial" w:hAnsi="Arial"/>
                <w:sz w:val="18"/>
                <w:szCs w:val="18"/>
              </w:rPr>
              <w:t xml:space="preserve"> GmbH</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REAL I.S. AG</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115</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 xml:space="preserve">“EDGE </w:t>
            </w:r>
            <w:proofErr w:type="spellStart"/>
            <w:r>
              <w:rPr>
                <w:rFonts w:ascii="Arial" w:hAnsi="Arial"/>
                <w:sz w:val="18"/>
                <w:szCs w:val="18"/>
              </w:rPr>
              <w:t>Elbside</w:t>
            </w:r>
            <w:proofErr w:type="spellEnd"/>
            <w:r>
              <w:rPr>
                <w:rFonts w:ascii="Arial" w:hAnsi="Arial"/>
                <w:sz w:val="18"/>
                <w:szCs w:val="18"/>
              </w:rPr>
              <w:t>” (50 %)</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HafenCity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Offices</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Ampega</w:t>
            </w:r>
            <w:proofErr w:type="spellEnd"/>
            <w:r>
              <w:rPr>
                <w:rFonts w:ascii="Arial" w:hAnsi="Arial"/>
                <w:sz w:val="18"/>
                <w:szCs w:val="18"/>
              </w:rPr>
              <w:t xml:space="preserve"> Asset Management </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HanseMerkur</w:t>
            </w:r>
            <w:proofErr w:type="spellEnd"/>
            <w:r>
              <w:rPr>
                <w:rFonts w:ascii="Arial" w:hAnsi="Arial"/>
                <w:sz w:val="18"/>
                <w:szCs w:val="18"/>
              </w:rPr>
              <w:t xml:space="preserve"> </w:t>
            </w:r>
            <w:proofErr w:type="spellStart"/>
            <w:r>
              <w:rPr>
                <w:rFonts w:ascii="Arial" w:hAnsi="Arial"/>
                <w:sz w:val="18"/>
                <w:szCs w:val="18"/>
              </w:rPr>
              <w:t>Grundvermögen</w:t>
            </w:r>
            <w:proofErr w:type="spellEnd"/>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±100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Elbtower</w:t>
            </w:r>
            <w:proofErr w:type="spellEnd"/>
            <w:r>
              <w:rPr>
                <w:rFonts w:ascii="Arial" w:hAnsi="Arial"/>
                <w:sz w:val="18"/>
                <w:szCs w:val="18"/>
              </w:rPr>
              <w:t>” (25 %)</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HafenCity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Offices</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Commerz</w:t>
            </w:r>
            <w:proofErr w:type="spellEnd"/>
            <w:r>
              <w:rPr>
                <w:rFonts w:ascii="Arial" w:hAnsi="Arial"/>
                <w:sz w:val="18"/>
                <w:szCs w:val="18"/>
              </w:rPr>
              <w:t xml:space="preserve"> Real </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Signa</w:t>
            </w:r>
            <w:proofErr w:type="spellEnd"/>
            <w:r>
              <w:rPr>
                <w:rFonts w:ascii="Arial" w:hAnsi="Arial"/>
                <w:sz w:val="18"/>
                <w:szCs w:val="18"/>
              </w:rPr>
              <w:t xml:space="preserve"> Holding</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confidential</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 xml:space="preserve">“Medical Science </w:t>
            </w:r>
            <w:proofErr w:type="spellStart"/>
            <w:r>
              <w:rPr>
                <w:rFonts w:ascii="Arial" w:hAnsi="Arial"/>
                <w:sz w:val="18"/>
                <w:szCs w:val="18"/>
              </w:rPr>
              <w:t>Center</w:t>
            </w:r>
            <w:proofErr w:type="spellEnd"/>
            <w:r>
              <w:rPr>
                <w:rFonts w:ascii="Arial" w:hAnsi="Arial"/>
                <w:sz w:val="18"/>
                <w:szCs w:val="18"/>
              </w:rPr>
              <w: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Hamburg East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Offices</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HanseMerkur</w:t>
            </w:r>
            <w:proofErr w:type="spellEnd"/>
            <w:r>
              <w:rPr>
                <w:rFonts w:ascii="Arial" w:hAnsi="Arial"/>
                <w:sz w:val="18"/>
                <w:szCs w:val="18"/>
              </w:rPr>
              <w:t xml:space="preserve"> </w:t>
            </w:r>
            <w:proofErr w:type="spellStart"/>
            <w:r>
              <w:rPr>
                <w:rFonts w:ascii="Arial" w:hAnsi="Arial"/>
                <w:sz w:val="18"/>
                <w:szCs w:val="18"/>
              </w:rPr>
              <w:t>Grundvermögen</w:t>
            </w:r>
            <w:proofErr w:type="spellEnd"/>
            <w:r>
              <w:rPr>
                <w:rFonts w:ascii="Arial" w:hAnsi="Arial"/>
                <w:sz w:val="18"/>
                <w:szCs w:val="18"/>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 xml:space="preserve">Aug. </w:t>
            </w:r>
            <w:proofErr w:type="spellStart"/>
            <w:r>
              <w:rPr>
                <w:rFonts w:ascii="Arial" w:hAnsi="Arial"/>
                <w:sz w:val="18"/>
                <w:szCs w:val="18"/>
              </w:rPr>
              <w:t>Prien</w:t>
            </w:r>
            <w:proofErr w:type="spellEnd"/>
            <w:r>
              <w:rPr>
                <w:rFonts w:ascii="Arial" w:hAnsi="Arial"/>
                <w:sz w:val="18"/>
                <w:szCs w:val="18"/>
              </w:rPr>
              <w:t xml:space="preserve"> </w:t>
            </w:r>
            <w:proofErr w:type="spellStart"/>
            <w:r>
              <w:rPr>
                <w:rFonts w:ascii="Arial" w:hAnsi="Arial"/>
                <w:sz w:val="18"/>
                <w:szCs w:val="18"/>
              </w:rPr>
              <w:t>Immobilien</w:t>
            </w:r>
            <w:proofErr w:type="spellEnd"/>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confidential</w:t>
            </w:r>
          </w:p>
        </w:tc>
      </w:tr>
    </w:tbl>
    <w:p w:rsidR="00187899" w:rsidRDefault="00E13A6B">
      <w:pPr>
        <w:widowControl w:val="0"/>
        <w:spacing w:after="0"/>
        <w:rPr>
          <w:rFonts w:ascii="Arial" w:eastAsia="Arial" w:hAnsi="Arial" w:cs="Arial"/>
          <w:sz w:val="16"/>
          <w:szCs w:val="16"/>
        </w:rPr>
      </w:pPr>
      <w:r>
        <w:rPr>
          <w:rFonts w:ascii="Arial" w:hAnsi="Arial"/>
          <w:sz w:val="16"/>
          <w:szCs w:val="16"/>
        </w:rPr>
        <w:t>* The purchase prices stated are based on publicly available data, where none is available an estimate is used instead. Transactions occurring in the quarter covered by this report are highlighted.</w:t>
      </w:r>
    </w:p>
    <w:p w:rsidR="00187899" w:rsidRDefault="00187899">
      <w:pPr>
        <w:spacing w:after="0" w:line="360" w:lineRule="auto"/>
        <w:rPr>
          <w:rFonts w:ascii="Arial" w:eastAsia="Arial" w:hAnsi="Arial" w:cs="Arial"/>
          <w:sz w:val="20"/>
          <w:szCs w:val="20"/>
        </w:rPr>
      </w:pPr>
    </w:p>
    <w:p w:rsidR="00187899" w:rsidRDefault="00E13A6B">
      <w:pPr>
        <w:spacing w:after="0" w:line="360" w:lineRule="auto"/>
        <w:rPr>
          <w:rFonts w:ascii="Arial" w:eastAsia="Arial" w:hAnsi="Arial" w:cs="Arial"/>
          <w:sz w:val="20"/>
          <w:szCs w:val="20"/>
        </w:rPr>
      </w:pPr>
      <w:r>
        <w:rPr>
          <w:rFonts w:ascii="Arial" w:hAnsi="Arial"/>
          <w:sz w:val="20"/>
          <w:szCs w:val="20"/>
        </w:rPr>
        <w:t>The</w:t>
      </w:r>
      <w:r w:rsidR="00FF1D3B">
        <w:rPr>
          <w:rFonts w:ascii="Arial" w:hAnsi="Arial"/>
          <w:sz w:val="20"/>
          <w:szCs w:val="20"/>
        </w:rPr>
        <w:t xml:space="preserve"> </w:t>
      </w:r>
      <w:hyperlink r:id="rId8" w:history="1">
        <w:r w:rsidR="00AF67DA">
          <w:rPr>
            <w:rStyle w:val="Hyperlink0"/>
          </w:rPr>
          <w:t>M</w:t>
        </w:r>
        <w:r>
          <w:rPr>
            <w:rStyle w:val="Hyperlink0"/>
          </w:rPr>
          <w:t>arket survey property investment in Hamburg 2022/Q4</w:t>
        </w:r>
      </w:hyperlink>
      <w:r>
        <w:rPr>
          <w:rFonts w:ascii="Arial" w:hAnsi="Arial"/>
          <w:sz w:val="20"/>
          <w:szCs w:val="20"/>
        </w:rPr>
        <w:t xml:space="preserve"> will soon be available to download from our website.</w:t>
      </w:r>
    </w:p>
    <w:p w:rsidR="00187899" w:rsidRDefault="00187899">
      <w:pPr>
        <w:spacing w:after="0" w:line="360" w:lineRule="auto"/>
        <w:rPr>
          <w:rFonts w:ascii="Arial" w:eastAsia="Arial" w:hAnsi="Arial" w:cs="Arial"/>
          <w:sz w:val="20"/>
          <w:szCs w:val="20"/>
        </w:rPr>
      </w:pPr>
    </w:p>
    <w:p w:rsidR="00187899" w:rsidRDefault="00E13A6B">
      <w:pPr>
        <w:spacing w:after="0" w:line="360" w:lineRule="auto"/>
        <w:rPr>
          <w:rFonts w:ascii="Arial" w:eastAsia="Arial" w:hAnsi="Arial" w:cs="Arial"/>
          <w:b/>
          <w:bCs/>
          <w:sz w:val="16"/>
          <w:szCs w:val="16"/>
        </w:rPr>
      </w:pPr>
      <w:r>
        <w:rPr>
          <w:rFonts w:ascii="Arial" w:hAnsi="Arial"/>
          <w:b/>
          <w:bCs/>
          <w:sz w:val="16"/>
          <w:szCs w:val="16"/>
        </w:rPr>
        <w:t>About Grossmann &amp; Berger</w:t>
      </w:r>
    </w:p>
    <w:p w:rsidR="00187899" w:rsidRDefault="00AF67DA">
      <w:pPr>
        <w:spacing w:after="0" w:line="360" w:lineRule="auto"/>
        <w:rPr>
          <w:rFonts w:ascii="Arial" w:eastAsia="Arial" w:hAnsi="Arial" w:cs="Arial"/>
          <w:sz w:val="16"/>
          <w:szCs w:val="16"/>
        </w:rPr>
      </w:pPr>
      <w:hyperlink r:id="rId9" w:history="1">
        <w:r w:rsidR="00E13A6B">
          <w:rPr>
            <w:rStyle w:val="Hyperlink1"/>
          </w:rPr>
          <w:t>Grossmann &amp; Berger GmbH</w:t>
        </w:r>
      </w:hyperlink>
      <w:r w:rsidR="00E13A6B">
        <w:rPr>
          <w:rFonts w:ascii="Arial" w:hAnsi="Arial"/>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0" w:history="1">
        <w:r w:rsidR="00E13A6B">
          <w:rPr>
            <w:rStyle w:val="Hyperlink1"/>
          </w:rPr>
          <w:t>E &amp; G Real Estate</w:t>
        </w:r>
      </w:hyperlink>
      <w:r w:rsidR="00E13A6B">
        <w:rPr>
          <w:rFonts w:ascii="Arial" w:hAnsi="Arial"/>
          <w:sz w:val="16"/>
          <w:szCs w:val="16"/>
        </w:rPr>
        <w:t xml:space="preserve"> and</w:t>
      </w:r>
      <w:r w:rsidR="00E13A6B">
        <w:rPr>
          <w:rFonts w:ascii="Arial" w:hAnsi="Arial"/>
          <w:sz w:val="16"/>
          <w:szCs w:val="16"/>
        </w:rPr>
        <w:br/>
      </w:r>
      <w:hyperlink r:id="rId11" w:history="1">
        <w:r w:rsidR="00E13A6B">
          <w:rPr>
            <w:rStyle w:val="Hyperlink1"/>
          </w:rPr>
          <w:t xml:space="preserve">E &amp; G Private </w:t>
        </w:r>
        <w:proofErr w:type="spellStart"/>
        <w:r w:rsidR="00E13A6B">
          <w:rPr>
            <w:rStyle w:val="Hyperlink1"/>
          </w:rPr>
          <w:t>Immobilien</w:t>
        </w:r>
        <w:proofErr w:type="spellEnd"/>
      </w:hyperlink>
      <w:r w:rsidR="00E13A6B">
        <w:rPr>
          <w:rFonts w:ascii="Arial" w:hAnsi="Arial"/>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Grossmann &amp; Berger belongs to the HASPA Group and is a founding member of the national commercial real estate network </w:t>
      </w:r>
      <w:hyperlink r:id="rId12" w:history="1">
        <w:r w:rsidR="00E13A6B">
          <w:rPr>
            <w:rStyle w:val="Hyperlink1"/>
          </w:rPr>
          <w:t>German Property Partners</w:t>
        </w:r>
      </w:hyperlink>
      <w:r w:rsidR="00E13A6B">
        <w:rPr>
          <w:rFonts w:ascii="Arial" w:hAnsi="Arial"/>
          <w:sz w:val="16"/>
          <w:szCs w:val="16"/>
        </w:rPr>
        <w:t xml:space="preserve"> (GPP).</w:t>
      </w:r>
    </w:p>
    <w:p w:rsidR="00187899" w:rsidRDefault="00187899">
      <w:pPr>
        <w:spacing w:after="0" w:line="360" w:lineRule="auto"/>
        <w:rPr>
          <w:rFonts w:ascii="Arial" w:eastAsia="Arial" w:hAnsi="Arial" w:cs="Arial"/>
          <w:sz w:val="16"/>
          <w:szCs w:val="16"/>
        </w:rPr>
      </w:pPr>
    </w:p>
    <w:p w:rsidR="00187899" w:rsidRDefault="00E13A6B">
      <w:pPr>
        <w:spacing w:after="0" w:line="360" w:lineRule="auto"/>
      </w:pPr>
      <w:r>
        <w:rPr>
          <w:rFonts w:ascii="Arial" w:hAnsi="Arial"/>
          <w:sz w:val="16"/>
          <w:szCs w:val="16"/>
        </w:rPr>
        <w:t xml:space="preserve">Please consult our website for Grossmann &amp; Berger’s </w:t>
      </w:r>
      <w:hyperlink r:id="rId13" w:history="1">
        <w:r>
          <w:rPr>
            <w:rStyle w:val="Hyperlink1"/>
          </w:rPr>
          <w:t>data privacy policy</w:t>
        </w:r>
      </w:hyperlink>
      <w:r>
        <w:rPr>
          <w:rFonts w:ascii="Arial" w:hAnsi="Arial"/>
          <w:sz w:val="16"/>
          <w:szCs w:val="16"/>
        </w:rPr>
        <w:t xml:space="preserve">. Here you will also be able to access our </w:t>
      </w:r>
      <w:hyperlink r:id="rId14" w:history="1">
        <w:r>
          <w:rPr>
            <w:rStyle w:val="Hyperlink1"/>
          </w:rPr>
          <w:t>press kit</w:t>
        </w:r>
      </w:hyperlink>
      <w:r>
        <w:rPr>
          <w:rFonts w:ascii="Arial" w:hAnsi="Arial"/>
          <w:sz w:val="16"/>
          <w:szCs w:val="16"/>
        </w:rPr>
        <w:t xml:space="preserve"> and the associated </w:t>
      </w:r>
      <w:hyperlink r:id="rId15" w:history="1">
        <w:r>
          <w:rPr>
            <w:rStyle w:val="Hyperlink1"/>
          </w:rPr>
          <w:t>Terms of Use</w:t>
        </w:r>
      </w:hyperlink>
      <w:r>
        <w:rPr>
          <w:rFonts w:ascii="Arial" w:hAnsi="Arial"/>
          <w:sz w:val="16"/>
          <w:szCs w:val="16"/>
        </w:rPr>
        <w:t xml:space="preserve">. If in future you would prefer not to receive any more information from our press office please e-mail us at </w:t>
      </w:r>
      <w:hyperlink r:id="rId16" w:history="1">
        <w:r>
          <w:rPr>
            <w:rStyle w:val="Hyperlink1"/>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187899">
      <w:headerReference w:type="default" r:id="rId17"/>
      <w:footerReference w:type="default" r:id="rId18"/>
      <w:headerReference w:type="first" r:id="rId19"/>
      <w:pgSz w:w="11900" w:h="16840"/>
      <w:pgMar w:top="284" w:right="1134" w:bottom="1440" w:left="1134" w:header="567"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E5" w:rsidRDefault="00E526E5">
      <w:pPr>
        <w:spacing w:after="0"/>
      </w:pPr>
      <w:r>
        <w:separator/>
      </w:r>
    </w:p>
  </w:endnote>
  <w:endnote w:type="continuationSeparator" w:id="0">
    <w:p w:rsidR="00E526E5" w:rsidRDefault="00E52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99" w:rsidRDefault="00E13A6B">
    <w:pPr>
      <w:pStyle w:val="Fuzeile"/>
      <w:tabs>
        <w:tab w:val="left" w:pos="4145"/>
        <w:tab w:val="right" w:pos="9612"/>
      </w:tabs>
      <w:jc w:val="center"/>
      <w:rPr>
        <w:rFonts w:ascii="Arial" w:eastAsia="Arial" w:hAnsi="Arial" w:cs="Arial"/>
        <w:color w:val="918F90"/>
        <w:sz w:val="18"/>
        <w:szCs w:val="18"/>
        <w:u w:color="918F90"/>
      </w:rPr>
    </w:pPr>
    <w:r w:rsidRPr="00A510BE">
      <w:rPr>
        <w:rFonts w:ascii="Arial" w:hAnsi="Arial"/>
        <w:b/>
        <w:bCs/>
        <w:color w:val="918F90"/>
        <w:sz w:val="18"/>
        <w:szCs w:val="18"/>
        <w:u w:color="918F90"/>
        <w:lang w:val="de-DE"/>
      </w:rPr>
      <w:t xml:space="preserve">Grossmann &amp; Berger GmbH </w:t>
    </w:r>
    <w:r w:rsidRPr="00A510BE">
      <w:rPr>
        <w:rFonts w:ascii="Arial" w:hAnsi="Arial"/>
        <w:color w:val="918F90"/>
        <w:sz w:val="18"/>
        <w:szCs w:val="18"/>
        <w:u w:color="918F90"/>
        <w:lang w:val="de-DE"/>
      </w:rPr>
      <w:t xml:space="preserve">| </w:t>
    </w:r>
    <w:proofErr w:type="spellStart"/>
    <w:r w:rsidRPr="00A510BE">
      <w:rPr>
        <w:rFonts w:ascii="Arial" w:hAnsi="Arial"/>
        <w:color w:val="918F90"/>
        <w:sz w:val="18"/>
        <w:szCs w:val="18"/>
        <w:u w:color="918F90"/>
        <w:lang w:val="de-DE"/>
      </w:rPr>
      <w:t>Bleichenbrücke</w:t>
    </w:r>
    <w:proofErr w:type="spellEnd"/>
    <w:r w:rsidRPr="00A510BE">
      <w:rPr>
        <w:rFonts w:ascii="Arial" w:hAnsi="Arial"/>
        <w:color w:val="918F90"/>
        <w:sz w:val="18"/>
        <w:szCs w:val="18"/>
        <w:u w:color="918F90"/>
        <w:lang w:val="de-DE"/>
      </w:rPr>
      <w:t xml:space="preserve"> 9 | 20354 Hamburg | Tel. </w:t>
    </w:r>
    <w:r>
      <w:rPr>
        <w:rFonts w:ascii="Arial" w:hAnsi="Arial"/>
        <w:color w:val="918F90"/>
        <w:sz w:val="18"/>
        <w:szCs w:val="18"/>
        <w:u w:color="918F90"/>
      </w:rPr>
      <w:t>+49 (0)40 / 350 80 2-0 | www.grossmann-berger.de</w:t>
    </w:r>
  </w:p>
  <w:p w:rsidR="00187899" w:rsidRDefault="00E13A6B">
    <w:pPr>
      <w:pStyle w:val="Fuzeile"/>
      <w:tabs>
        <w:tab w:val="left" w:pos="4145"/>
        <w:tab w:val="right" w:pos="9612"/>
      </w:tabs>
      <w:jc w:val="right"/>
    </w:pPr>
    <w:r>
      <w:rPr>
        <w:rFonts w:ascii="Arial" w:hAnsi="Arial"/>
        <w:color w:val="918F90"/>
        <w:sz w:val="18"/>
        <w:szCs w:val="18"/>
        <w:u w:color="918F90"/>
      </w:rPr>
      <w:tab/>
    </w:r>
    <w:r>
      <w:rPr>
        <w:rFonts w:ascii="Arial" w:hAnsi="Arial"/>
        <w:color w:val="918F90"/>
        <w:sz w:val="18"/>
        <w:szCs w:val="18"/>
        <w:u w:color="918F90"/>
      </w:rPr>
      <w:tab/>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AF67DA">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w:t>
    </w:r>
    <w: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AF67DA">
      <w:rPr>
        <w:rFonts w:ascii="Arial" w:eastAsia="Arial" w:hAnsi="Arial" w:cs="Arial"/>
        <w:noProof/>
        <w:sz w:val="18"/>
        <w:szCs w:val="18"/>
      </w:rPr>
      <w:t>3</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E5" w:rsidRDefault="00E526E5">
      <w:pPr>
        <w:spacing w:after="0"/>
      </w:pPr>
      <w:r>
        <w:separator/>
      </w:r>
    </w:p>
  </w:footnote>
  <w:footnote w:type="continuationSeparator" w:id="0">
    <w:p w:rsidR="00E526E5" w:rsidRDefault="00E526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99" w:rsidRDefault="00E13A6B">
    <w:pPr>
      <w:jc w:val="right"/>
    </w:pPr>
    <w:r>
      <w:rPr>
        <w:noProof/>
        <w:lang w:val="de-DE"/>
      </w:rPr>
      <mc:AlternateContent>
        <mc:Choice Requires="wps">
          <w:drawing>
            <wp:anchor distT="152400" distB="152400" distL="152400" distR="152400" simplePos="0" relativeHeight="251656704" behindDoc="1" locked="0" layoutInCell="1" allowOverlap="1">
              <wp:simplePos x="0" y="0"/>
              <wp:positionH relativeFrom="page">
                <wp:posOffset>682142</wp:posOffset>
              </wp:positionH>
              <wp:positionV relativeFrom="page">
                <wp:posOffset>380390</wp:posOffset>
              </wp:positionV>
              <wp:extent cx="4897527" cy="202417"/>
              <wp:effectExtent l="0" t="0" r="0" b="0"/>
              <wp:wrapNone/>
              <wp:docPr id="1073741825" name="officeArt object" descr="Textfeld 2"/>
              <wp:cNvGraphicFramePr/>
              <a:graphic xmlns:a="http://schemas.openxmlformats.org/drawingml/2006/main">
                <a:graphicData uri="http://schemas.microsoft.com/office/word/2010/wordprocessingShape">
                  <wps:wsp>
                    <wps:cNvSpPr txBox="1"/>
                    <wps:spPr>
                      <a:xfrm>
                        <a:off x="0" y="0"/>
                        <a:ext cx="4897527" cy="202417"/>
                      </a:xfrm>
                      <a:prstGeom prst="rect">
                        <a:avLst/>
                      </a:prstGeom>
                      <a:noFill/>
                      <a:ln w="12700" cap="flat">
                        <a:noFill/>
                        <a:miter lim="400000"/>
                      </a:ln>
                      <a:effectLst/>
                    </wps:spPr>
                    <wps:txbx>
                      <w:txbxContent>
                        <w:p w:rsidR="00187899" w:rsidRDefault="00E13A6B">
                          <w:pPr>
                            <w:spacing w:after="0"/>
                          </w:pPr>
                          <w:r>
                            <w:rPr>
                              <w:rFonts w:ascii="Arial" w:hAnsi="Arial"/>
                              <w:b/>
                              <w:bCs/>
                              <w:sz w:val="16"/>
                              <w:szCs w:val="16"/>
                            </w:rPr>
                            <w:t>Press contact:</w:t>
                          </w:r>
                          <w:r>
                            <w:rPr>
                              <w:rFonts w:ascii="Arial" w:hAnsi="Arial"/>
                              <w:sz w:val="16"/>
                              <w:szCs w:val="16"/>
                            </w:rPr>
                            <w:t xml:space="preserve"> Katharina Koester | Tel: +49 (0)40 / 350 80 2-988 | k.koester@grossmann-berger.de</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2" style="position:absolute;left:0;text-align:left;margin-left:53.7pt;margin-top:29.95pt;width:385.65pt;height:15.9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" filled="f" stroked="f" strokeweight="1pt">
              <v:stroke miterlimit="4"/>
              <v:textbox inset="1.27mm,1.27mm,1.27mm,1.27mm">
                <w:txbxContent>
                  <w:p w:rsidR="00187899" w:rsidRDefault="00E13A6B">
                    <w:pPr>
                      <w:spacing w:after="0"/>
                    </w:pPr>
                    <w:r>
                      <w:rPr>
                        <w:rFonts w:ascii="Arial" w:hAnsi="Arial"/>
                        <w:b/>
                        <w:bCs/>
                        <w:sz w:val="16"/>
                        <w:szCs w:val="16"/>
                      </w:rPr>
                      <w:t>Press contact:</w:t>
                    </w:r>
                    <w:r>
                      <w:rPr>
                        <w:rFonts w:ascii="Arial" w:hAnsi="Arial"/>
                        <w:sz w:val="16"/>
                        <w:szCs w:val="16"/>
                      </w:rPr>
                      <w:t xml:space="preserve"> Katharina Koester | Tel: +49 (0)40 / 350 80 2-988 | k.koester@grossmann-berger.de</w:t>
                    </w:r>
                  </w:p>
                </w:txbxContent>
              </v:textbox>
              <w10:wrap anchorx="page" anchory="page"/>
            </v:shape>
          </w:pict>
        </mc:Fallback>
      </mc:AlternateContent>
    </w:r>
    <w:r>
      <w:rPr>
        <w:rFonts w:ascii="Arial" w:hAnsi="Arial"/>
        <w:color w:val="918F90"/>
        <w:sz w:val="28"/>
        <w:szCs w:val="28"/>
        <w:u w:color="918F90"/>
      </w:rPr>
      <w:t>Press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99" w:rsidRDefault="00E13A6B">
    <w:pPr>
      <w:jc w:val="right"/>
    </w:pPr>
    <w:r>
      <w:rPr>
        <w:noProof/>
        <w:lang w:val="de-DE"/>
      </w:rPr>
      <mc:AlternateContent>
        <mc:Choice Requires="wps">
          <w:drawing>
            <wp:anchor distT="152400" distB="152400" distL="152400" distR="152400" simplePos="0" relativeHeight="251657728" behindDoc="1" locked="0" layoutInCell="1" allowOverlap="1">
              <wp:simplePos x="0" y="0"/>
              <wp:positionH relativeFrom="page">
                <wp:posOffset>682143</wp:posOffset>
              </wp:positionH>
              <wp:positionV relativeFrom="page">
                <wp:posOffset>380390</wp:posOffset>
              </wp:positionV>
              <wp:extent cx="4868266" cy="202417"/>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4868266" cy="202417"/>
                      </a:xfrm>
                      <a:prstGeom prst="rect">
                        <a:avLst/>
                      </a:prstGeom>
                      <a:noFill/>
                      <a:ln w="12700" cap="flat">
                        <a:noFill/>
                        <a:miter lim="400000"/>
                      </a:ln>
                      <a:effectLst/>
                    </wps:spPr>
                    <wps:txbx>
                      <w:txbxContent>
                        <w:p w:rsidR="00187899" w:rsidRDefault="00E13A6B">
                          <w:pPr>
                            <w:spacing w:after="0"/>
                          </w:pPr>
                          <w:r>
                            <w:rPr>
                              <w:rFonts w:ascii="Arial" w:hAnsi="Arial"/>
                              <w:b/>
                              <w:bCs/>
                              <w:sz w:val="16"/>
                              <w:szCs w:val="16"/>
                            </w:rPr>
                            <w:t>Press contact:</w:t>
                          </w:r>
                          <w:r>
                            <w:rPr>
                              <w:rFonts w:ascii="Arial" w:hAnsi="Arial"/>
                              <w:sz w:val="16"/>
                              <w:szCs w:val="16"/>
                            </w:rPr>
                            <w:t xml:space="preserve"> Katharina Koester | Tel: +49 (0)40 / 350 80 2-988 | k.koester@grossmann-berger.de</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feld 2" style="position:absolute;left:0;text-align:left;margin-left:53.7pt;margin-top:29.95pt;width:383.35pt;height:15.9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" filled="f" stroked="f" strokeweight="1pt">
              <v:stroke miterlimit="4"/>
              <v:textbox inset="1.27mm,1.27mm,1.27mm,1.27mm">
                <w:txbxContent>
                  <w:p w:rsidR="00187899" w:rsidRDefault="00E13A6B">
                    <w:pPr>
                      <w:spacing w:after="0"/>
                    </w:pPr>
                    <w:r>
                      <w:rPr>
                        <w:rFonts w:ascii="Arial" w:hAnsi="Arial"/>
                        <w:b/>
                        <w:bCs/>
                        <w:sz w:val="16"/>
                        <w:szCs w:val="16"/>
                      </w:rPr>
                      <w:t>Press contact:</w:t>
                    </w:r>
                    <w:r>
                      <w:rPr>
                        <w:rFonts w:ascii="Arial" w:hAnsi="Arial"/>
                        <w:sz w:val="16"/>
                        <w:szCs w:val="16"/>
                      </w:rPr>
                      <w:t xml:space="preserve"> Katharina Koester | Tel: +49 (0)40 / 350 80 2-988 | k.koester@grossmann-berger.de</w:t>
                    </w:r>
                  </w:p>
                </w:txbxContent>
              </v:textbox>
              <w10:wrap anchorx="page" anchory="page"/>
            </v:shape>
          </w:pict>
        </mc:Fallback>
      </mc:AlternateContent>
    </w:r>
    <w:r>
      <w:rPr>
        <w:noProof/>
        <w:lang w:val="de-DE"/>
      </w:rPr>
      <w:drawing>
        <wp:anchor distT="152400" distB="152400" distL="152400" distR="152400" simplePos="0" relativeHeight="251658752" behindDoc="1" locked="0" layoutInCell="1" allowOverlap="1">
          <wp:simplePos x="0" y="0"/>
          <wp:positionH relativeFrom="page">
            <wp:posOffset>104775</wp:posOffset>
          </wp:positionH>
          <wp:positionV relativeFrom="page">
            <wp:posOffset>9457690</wp:posOffset>
          </wp:positionV>
          <wp:extent cx="7346950" cy="1140460"/>
          <wp:effectExtent l="0" t="0" r="0" b="0"/>
          <wp:wrapNone/>
          <wp:docPr id="1073741827" name="officeArt object" descr="Bild 2"/>
          <wp:cNvGraphicFramePr/>
          <a:graphic xmlns:a="http://schemas.openxmlformats.org/drawingml/2006/main">
            <a:graphicData uri="http://schemas.openxmlformats.org/drawingml/2006/picture">
              <pic:pic xmlns:pic="http://schemas.openxmlformats.org/drawingml/2006/picture">
                <pic:nvPicPr>
                  <pic:cNvPr id="1073741827" name="Bild 2" descr="Bild 2"/>
                  <pic:cNvPicPr>
                    <a:picLocks noChangeAspect="1"/>
                  </pic:cNvPicPr>
                </pic:nvPicPr>
                <pic:blipFill>
                  <a:blip r:embed="rId1">
                    <a:extLst/>
                  </a:blip>
                  <a:stretch>
                    <a:fillRect/>
                  </a:stretch>
                </pic:blipFill>
                <pic:spPr>
                  <a:xfrm>
                    <a:off x="0" y="0"/>
                    <a:ext cx="7346950" cy="1140460"/>
                  </a:xfrm>
                  <a:prstGeom prst="rect">
                    <a:avLst/>
                  </a:prstGeom>
                  <a:ln w="12700" cap="flat">
                    <a:noFill/>
                    <a:miter lim="400000"/>
                  </a:ln>
                  <a:effectLst/>
                </pic:spPr>
              </pic:pic>
            </a:graphicData>
          </a:graphic>
        </wp:anchor>
      </w:drawing>
    </w:r>
    <w:r>
      <w:rPr>
        <w:rFonts w:ascii="Arial" w:hAnsi="Arial"/>
        <w:color w:val="918F90"/>
        <w:sz w:val="28"/>
        <w:szCs w:val="28"/>
        <w:u w:color="918F9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5C77"/>
    <w:multiLevelType w:val="hybridMultilevel"/>
    <w:tmpl w:val="E8DCEBEE"/>
    <w:numStyleLink w:val="ImportierterStil1"/>
  </w:abstractNum>
  <w:abstractNum w:abstractNumId="1" w15:restartNumberingAfterBreak="0">
    <w:nsid w:val="65535AFA"/>
    <w:multiLevelType w:val="hybridMultilevel"/>
    <w:tmpl w:val="E8DCEBEE"/>
    <w:styleLink w:val="ImportierterStil1"/>
    <w:lvl w:ilvl="0" w:tplc="9E8264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6D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B04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400C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509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96E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A15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E0A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B2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99"/>
    <w:rsid w:val="00163D76"/>
    <w:rsid w:val="00187899"/>
    <w:rsid w:val="001954B3"/>
    <w:rsid w:val="002550B8"/>
    <w:rsid w:val="00363C2A"/>
    <w:rsid w:val="003F02C1"/>
    <w:rsid w:val="00402E7F"/>
    <w:rsid w:val="004A6CBD"/>
    <w:rsid w:val="004D27D9"/>
    <w:rsid w:val="00583417"/>
    <w:rsid w:val="006215C8"/>
    <w:rsid w:val="00726861"/>
    <w:rsid w:val="00727EAF"/>
    <w:rsid w:val="007501FF"/>
    <w:rsid w:val="00820F1F"/>
    <w:rsid w:val="008530C7"/>
    <w:rsid w:val="00951C70"/>
    <w:rsid w:val="00A510BE"/>
    <w:rsid w:val="00AF67DA"/>
    <w:rsid w:val="00B04626"/>
    <w:rsid w:val="00B252AB"/>
    <w:rsid w:val="00B4050D"/>
    <w:rsid w:val="00BD4213"/>
    <w:rsid w:val="00C63B4E"/>
    <w:rsid w:val="00D00D59"/>
    <w:rsid w:val="00D15ACC"/>
    <w:rsid w:val="00D95EAD"/>
    <w:rsid w:val="00E13A6B"/>
    <w:rsid w:val="00E526E5"/>
    <w:rsid w:val="00FF1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CF85"/>
  <w15:docId w15:val="{945449C7-4418-4885-B70D-4A23FB5D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spacing w:after="200"/>
    </w:pPr>
    <w:rPr>
      <w:rFonts w:ascii="Cambria" w:hAnsi="Cambria" w:cs="Arial Unicode MS"/>
      <w:color w:val="000000"/>
      <w:sz w:val="24"/>
      <w:szCs w:val="24"/>
      <w:u w:color="000000"/>
    </w:rPr>
  </w:style>
  <w:style w:type="paragraph" w:styleId="Listenabsatz">
    <w:name w:val="List Paragraph"/>
    <w:pPr>
      <w:spacing w:after="200"/>
      <w:ind w:left="720"/>
    </w:pPr>
    <w:rPr>
      <w:rFonts w:ascii="Cambria" w:hAnsi="Cambria" w:cs="Arial Unicode MS"/>
      <w:color w:val="000000"/>
      <w:sz w:val="24"/>
      <w:szCs w:val="24"/>
      <w:u w:color="000000"/>
    </w:rPr>
  </w:style>
  <w:style w:type="numbering" w:customStyle="1" w:styleId="ImportierterStil1">
    <w:name w:val="Importierter Stil: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prechblasentext">
    <w:name w:val="Balloon Text"/>
    <w:basedOn w:val="Standard"/>
    <w:link w:val="SprechblasentextZchn"/>
    <w:uiPriority w:val="99"/>
    <w:semiHidden/>
    <w:unhideWhenUsed/>
    <w:rsid w:val="007501F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1FF"/>
    <w:rPr>
      <w:rFonts w:ascii="Segoe UI" w:hAnsi="Segoe UI" w:cs="Segoe UI"/>
      <w:color w:val="000000"/>
      <w:sz w:val="18"/>
      <w:szCs w:val="18"/>
      <w:u w:color="000000"/>
      <w14:textOutline w14:w="0" w14:cap="flat" w14:cmpd="sng" w14:algn="ctr">
        <w14:noFill/>
        <w14:prstDash w14:val="solid"/>
        <w14:bevel/>
      </w14:textOutline>
    </w:rPr>
  </w:style>
  <w:style w:type="paragraph" w:styleId="berarbeitung">
    <w:name w:val="Revision"/>
    <w:hidden/>
    <w:uiPriority w:val="99"/>
    <w:semiHidden/>
    <w:rsid w:val="00B4050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rossmann-berger.de/en/well-informed/market-reports-and-price-trends" TargetMode="External"/><Relationship Id="rId13" Type="http://schemas.openxmlformats.org/officeDocument/2006/relationships/hyperlink" Target="https://www.grossmann-berger.de/en/priva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ermanpropertypartners.de/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grossmann-berger.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ug-immobilien.de/privat-immobilien" TargetMode="External"/><Relationship Id="rId5" Type="http://schemas.openxmlformats.org/officeDocument/2006/relationships/footnotes" Target="footnotes.xml"/><Relationship Id="rId15" Type="http://schemas.openxmlformats.org/officeDocument/2006/relationships/hyperlink" Target="https://www.grossmann-berger.de/en/company/press-portfolio/terms-of-use-for-press-material" TargetMode="External"/><Relationship Id="rId10" Type="http://schemas.openxmlformats.org/officeDocument/2006/relationships/hyperlink" Target="https://en.eug-immobilien.de/gewerbe-immobili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rossmann-berger.de/en" TargetMode="External"/><Relationship Id="rId14" Type="http://schemas.openxmlformats.org/officeDocument/2006/relationships/hyperlink" Target="https://www.grossmann-berger.de/en/company/press-portfol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Koester</dc:creator>
  <cp:lastModifiedBy>Katharina Koester</cp:lastModifiedBy>
  <cp:revision>2</cp:revision>
  <cp:lastPrinted>2023-01-03T14:11:00Z</cp:lastPrinted>
  <dcterms:created xsi:type="dcterms:W3CDTF">2023-01-04T09:41:00Z</dcterms:created>
  <dcterms:modified xsi:type="dcterms:W3CDTF">2023-01-04T09:41:00Z</dcterms:modified>
</cp:coreProperties>
</file>