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6476" w14:textId="4DA144B6" w:rsidR="00B2778D" w:rsidRPr="00B1649D" w:rsidRDefault="00B2778D" w:rsidP="00B2778D">
      <w:pPr>
        <w:spacing w:after="0" w:line="360" w:lineRule="auto"/>
        <w:rPr>
          <w:rFonts w:ascii="Arial" w:hAnsi="Arial" w:cs="Arial"/>
          <w:b/>
        </w:rPr>
      </w:pPr>
      <w:r>
        <w:rPr>
          <w:rFonts w:ascii="Arial" w:hAnsi="Arial"/>
          <w:b/>
        </w:rPr>
        <w:t xml:space="preserve">Hamburg and the environs: </w:t>
      </w:r>
      <w:r w:rsidR="008D0E1A">
        <w:rPr>
          <w:rFonts w:ascii="Arial" w:hAnsi="Arial"/>
          <w:b/>
        </w:rPr>
        <w:t xml:space="preserve">Market survey pre-built </w:t>
      </w:r>
      <w:r>
        <w:rPr>
          <w:rFonts w:ascii="Arial" w:hAnsi="Arial"/>
          <w:b/>
        </w:rPr>
        <w:t>residential properties 2022/2023</w:t>
      </w:r>
    </w:p>
    <w:p w14:paraId="6120E82B" w14:textId="77777777" w:rsidR="00B2778D" w:rsidRDefault="00B2778D" w:rsidP="00B2778D">
      <w:pPr>
        <w:pStyle w:val="Listenabsatz"/>
        <w:numPr>
          <w:ilvl w:val="0"/>
          <w:numId w:val="17"/>
        </w:numPr>
        <w:spacing w:after="0" w:line="360" w:lineRule="auto"/>
        <w:rPr>
          <w:rFonts w:ascii="Arial" w:hAnsi="Arial" w:cs="Arial"/>
          <w:b/>
          <w:sz w:val="28"/>
          <w:szCs w:val="28"/>
        </w:rPr>
      </w:pPr>
      <w:r>
        <w:rPr>
          <w:rFonts w:ascii="Arial" w:hAnsi="Arial"/>
          <w:b/>
          <w:sz w:val="28"/>
          <w:szCs w:val="28"/>
        </w:rPr>
        <w:t>Price reductions to average as much as six percent in 2023</w:t>
      </w:r>
    </w:p>
    <w:p w14:paraId="4677A9A4" w14:textId="57A29339" w:rsidR="00B2778D" w:rsidRPr="00434DD4" w:rsidRDefault="00B2778D" w:rsidP="00B2778D">
      <w:pPr>
        <w:pStyle w:val="Listenabsatz"/>
        <w:numPr>
          <w:ilvl w:val="0"/>
          <w:numId w:val="17"/>
        </w:numPr>
        <w:spacing w:after="0" w:line="360" w:lineRule="auto"/>
        <w:rPr>
          <w:rFonts w:ascii="Arial" w:hAnsi="Arial" w:cs="Arial"/>
          <w:b/>
          <w:sz w:val="28"/>
          <w:szCs w:val="28"/>
        </w:rPr>
      </w:pPr>
      <w:r>
        <w:rPr>
          <w:rFonts w:ascii="Arial" w:hAnsi="Arial"/>
          <w:b/>
          <w:sz w:val="28"/>
          <w:szCs w:val="28"/>
        </w:rPr>
        <w:t xml:space="preserve">“New market </w:t>
      </w:r>
      <w:r w:rsidR="00B37201">
        <w:rPr>
          <w:rFonts w:ascii="Arial" w:hAnsi="Arial"/>
          <w:b/>
          <w:sz w:val="28"/>
          <w:szCs w:val="28"/>
        </w:rPr>
        <w:t>conditions result</w:t>
      </w:r>
      <w:r>
        <w:rPr>
          <w:rFonts w:ascii="Arial" w:hAnsi="Arial"/>
          <w:b/>
          <w:sz w:val="28"/>
          <w:szCs w:val="28"/>
        </w:rPr>
        <w:t xml:space="preserve"> in </w:t>
      </w:r>
      <w:r w:rsidR="00B37201">
        <w:rPr>
          <w:rFonts w:ascii="Arial" w:hAnsi="Arial"/>
          <w:b/>
          <w:sz w:val="28"/>
          <w:szCs w:val="28"/>
        </w:rPr>
        <w:t>far greater</w:t>
      </w:r>
      <w:r>
        <w:rPr>
          <w:rFonts w:ascii="Arial" w:hAnsi="Arial"/>
          <w:b/>
          <w:sz w:val="28"/>
          <w:szCs w:val="28"/>
        </w:rPr>
        <w:t xml:space="preserve"> need for consultancy”</w:t>
      </w:r>
    </w:p>
    <w:p w14:paraId="77B3C141" w14:textId="77777777" w:rsidR="00B2778D" w:rsidRPr="0090748B" w:rsidRDefault="00B2778D" w:rsidP="00B2778D">
      <w:pPr>
        <w:spacing w:after="0" w:line="360" w:lineRule="auto"/>
        <w:jc w:val="both"/>
        <w:rPr>
          <w:rFonts w:ascii="Arial" w:hAnsi="Arial" w:cs="Arial"/>
          <w:b/>
          <w:sz w:val="20"/>
          <w:szCs w:val="20"/>
        </w:rPr>
      </w:pPr>
    </w:p>
    <w:p w14:paraId="4609E229" w14:textId="1C2AADC5" w:rsidR="00B2778D" w:rsidRDefault="00D3630B" w:rsidP="00B2778D">
      <w:pPr>
        <w:spacing w:after="0" w:line="360" w:lineRule="auto"/>
        <w:rPr>
          <w:rFonts w:ascii="Arial" w:hAnsi="Arial" w:cs="Arial"/>
          <w:sz w:val="20"/>
          <w:szCs w:val="20"/>
        </w:rPr>
      </w:pPr>
      <w:r>
        <w:rPr>
          <w:rFonts w:ascii="Arial" w:hAnsi="Arial"/>
          <w:b/>
          <w:sz w:val="20"/>
          <w:szCs w:val="20"/>
        </w:rPr>
        <w:t>Hamburg, 13 December 2022</w:t>
      </w:r>
      <w:r>
        <w:rPr>
          <w:rFonts w:ascii="Arial" w:hAnsi="Arial"/>
          <w:sz w:val="20"/>
          <w:szCs w:val="20"/>
        </w:rPr>
        <w:t xml:space="preserve"> – New interest rates, energy crisis, rocketing ancillary housing costs, shortages of materials - Hamburg’s mark</w:t>
      </w:r>
      <w:r w:rsidR="00F52EF1">
        <w:rPr>
          <w:rFonts w:ascii="Arial" w:hAnsi="Arial"/>
          <w:sz w:val="20"/>
          <w:szCs w:val="20"/>
        </w:rPr>
        <w:t>et for residential properties</w:t>
      </w:r>
      <w:r>
        <w:rPr>
          <w:rFonts w:ascii="Arial" w:hAnsi="Arial"/>
          <w:sz w:val="20"/>
          <w:szCs w:val="20"/>
        </w:rPr>
        <w:t xml:space="preserve"> was hit by several pieces of bad news in 2022. The altere</w:t>
      </w:r>
      <w:r w:rsidR="00F52EF1">
        <w:rPr>
          <w:rFonts w:ascii="Arial" w:hAnsi="Arial"/>
          <w:sz w:val="20"/>
          <w:szCs w:val="20"/>
        </w:rPr>
        <w:t>d parameters will most likely</w:t>
      </w:r>
      <w:r>
        <w:rPr>
          <w:rFonts w:ascii="Arial" w:hAnsi="Arial"/>
          <w:sz w:val="20"/>
          <w:szCs w:val="20"/>
        </w:rPr>
        <w:t xml:space="preserve"> remain in place in 2023. Therefore Grossmann &amp; Berger expects that next year standard houses* and apartments** (see definitions below) already built in Hamburg or its environs will cost</w:t>
      </w:r>
      <w:r w:rsidR="00F52EF1">
        <w:rPr>
          <w:rFonts w:ascii="Arial" w:hAnsi="Arial"/>
          <w:sz w:val="20"/>
          <w:szCs w:val="20"/>
        </w:rPr>
        <w:t xml:space="preserve"> between 2.9 % and 5.6 % less. </w:t>
      </w:r>
      <w:r>
        <w:rPr>
          <w:rFonts w:ascii="Arial" w:hAnsi="Arial"/>
          <w:sz w:val="20"/>
          <w:szCs w:val="20"/>
        </w:rPr>
        <w:t xml:space="preserve">However, this year prices have already fallen more dramatically. A summary of market details and forecasts may be found in the new </w:t>
      </w:r>
      <w:r w:rsidR="008D0E1A">
        <w:rPr>
          <w:rFonts w:ascii="Arial" w:hAnsi="Arial"/>
          <w:sz w:val="20"/>
          <w:szCs w:val="20"/>
        </w:rPr>
        <w:t>‘</w:t>
      </w:r>
      <w:r>
        <w:rPr>
          <w:rFonts w:ascii="Arial" w:hAnsi="Arial"/>
          <w:sz w:val="20"/>
          <w:szCs w:val="20"/>
        </w:rPr>
        <w:t>G&amp;B Market survey of residential properties 2022/2023 Hamburg and the environs</w:t>
      </w:r>
      <w:r w:rsidR="008D0E1A">
        <w:rPr>
          <w:rFonts w:ascii="Arial" w:hAnsi="Arial"/>
          <w:sz w:val="20"/>
          <w:szCs w:val="20"/>
        </w:rPr>
        <w:t>’</w:t>
      </w:r>
      <w:r>
        <w:rPr>
          <w:rFonts w:ascii="Arial" w:hAnsi="Arial"/>
          <w:sz w:val="20"/>
          <w:szCs w:val="20"/>
        </w:rPr>
        <w:t xml:space="preserve">. </w:t>
      </w:r>
    </w:p>
    <w:p w14:paraId="04360901" w14:textId="77777777" w:rsidR="00B2778D" w:rsidRDefault="00B2778D" w:rsidP="00B2778D">
      <w:pPr>
        <w:spacing w:after="0" w:line="360" w:lineRule="auto"/>
        <w:rPr>
          <w:rFonts w:ascii="Arial" w:hAnsi="Arial" w:cs="Arial"/>
          <w:sz w:val="20"/>
          <w:szCs w:val="20"/>
        </w:rPr>
      </w:pPr>
    </w:p>
    <w:p w14:paraId="28041121" w14:textId="77777777" w:rsidR="00B2778D" w:rsidRPr="00B84C02" w:rsidRDefault="00B2778D" w:rsidP="00B2778D">
      <w:pPr>
        <w:spacing w:after="0" w:line="360" w:lineRule="auto"/>
        <w:rPr>
          <w:rFonts w:ascii="Arial" w:hAnsi="Arial" w:cs="Arial"/>
          <w:b/>
          <w:sz w:val="20"/>
          <w:szCs w:val="20"/>
        </w:rPr>
      </w:pPr>
      <w:r>
        <w:rPr>
          <w:rFonts w:ascii="Arial" w:hAnsi="Arial"/>
          <w:b/>
          <w:sz w:val="20"/>
          <w:szCs w:val="20"/>
        </w:rPr>
        <w:t xml:space="preserve">Energy performance rating is buyers’ prime concern </w:t>
      </w:r>
    </w:p>
    <w:p w14:paraId="3F11E772" w14:textId="5932A30C" w:rsidR="00B2778D" w:rsidRDefault="00B2778D" w:rsidP="00B2778D">
      <w:pPr>
        <w:spacing w:after="0" w:line="360" w:lineRule="auto"/>
        <w:rPr>
          <w:rFonts w:ascii="Arial" w:hAnsi="Arial" w:cs="Arial"/>
          <w:sz w:val="20"/>
          <w:szCs w:val="20"/>
        </w:rPr>
      </w:pPr>
      <w:r>
        <w:rPr>
          <w:rFonts w:ascii="Arial" w:hAnsi="Arial"/>
          <w:i/>
          <w:sz w:val="20"/>
          <w:szCs w:val="20"/>
        </w:rPr>
        <w:t>“Despite reductions, the average price</w:t>
      </w:r>
      <w:r w:rsidR="00B37201">
        <w:rPr>
          <w:rFonts w:ascii="Arial" w:hAnsi="Arial"/>
          <w:i/>
          <w:sz w:val="20"/>
          <w:szCs w:val="20"/>
        </w:rPr>
        <w:t xml:space="preserve"> of a pre-built home in 2023 will be</w:t>
      </w:r>
      <w:r>
        <w:rPr>
          <w:rFonts w:ascii="Arial" w:hAnsi="Arial"/>
          <w:i/>
          <w:sz w:val="20"/>
          <w:szCs w:val="20"/>
        </w:rPr>
        <w:t xml:space="preserve"> higher than in 2019,”</w:t>
      </w:r>
      <w:r>
        <w:rPr>
          <w:rFonts w:ascii="Arial" w:hAnsi="Arial"/>
          <w:sz w:val="20"/>
          <w:szCs w:val="20"/>
        </w:rPr>
        <w:t xml:space="preserve"> says </w:t>
      </w:r>
      <w:r>
        <w:rPr>
          <w:rFonts w:ascii="Arial" w:hAnsi="Arial"/>
          <w:b/>
          <w:sz w:val="20"/>
          <w:szCs w:val="20"/>
        </w:rPr>
        <w:t xml:space="preserve">Andreas </w:t>
      </w:r>
      <w:proofErr w:type="spellStart"/>
      <w:r>
        <w:rPr>
          <w:rFonts w:ascii="Arial" w:hAnsi="Arial"/>
          <w:b/>
          <w:sz w:val="20"/>
          <w:szCs w:val="20"/>
        </w:rPr>
        <w:t>Gnielka</w:t>
      </w:r>
      <w:proofErr w:type="spellEnd"/>
      <w:r>
        <w:rPr>
          <w:rFonts w:ascii="Arial" w:hAnsi="Arial"/>
          <w:sz w:val="20"/>
          <w:szCs w:val="20"/>
        </w:rPr>
        <w:t xml:space="preserve">, managing director of Grossmann &amp; Berger. Due to the massive rise in energy costs, </w:t>
      </w:r>
      <w:r w:rsidR="00B37201">
        <w:rPr>
          <w:rFonts w:ascii="Arial" w:hAnsi="Arial"/>
          <w:sz w:val="20"/>
          <w:szCs w:val="20"/>
        </w:rPr>
        <w:t xml:space="preserve">in Hamburg’s environs </w:t>
      </w:r>
      <w:r>
        <w:rPr>
          <w:rFonts w:ascii="Arial" w:hAnsi="Arial"/>
          <w:sz w:val="20"/>
          <w:szCs w:val="20"/>
        </w:rPr>
        <w:t xml:space="preserve">it is especially hard to sell big houses with a low efficiency rating. During the </w:t>
      </w:r>
      <w:proofErr w:type="spellStart"/>
      <w:r>
        <w:rPr>
          <w:rFonts w:ascii="Arial" w:hAnsi="Arial"/>
          <w:sz w:val="20"/>
          <w:szCs w:val="20"/>
        </w:rPr>
        <w:t>Covid</w:t>
      </w:r>
      <w:proofErr w:type="spellEnd"/>
      <w:r>
        <w:rPr>
          <w:rFonts w:ascii="Arial" w:hAnsi="Arial"/>
          <w:sz w:val="20"/>
          <w:szCs w:val="20"/>
        </w:rPr>
        <w:t xml:space="preserve"> pandemic these houses saw the biggest price increases and accordingly their prices are falling by the highest amount, 5.6 %. A similar development may be observed in the peripheral parts of the city.</w:t>
      </w:r>
      <w:r>
        <w:rPr>
          <w:rFonts w:ascii="Arial" w:hAnsi="Arial"/>
          <w:i/>
          <w:sz w:val="20"/>
          <w:szCs w:val="20"/>
        </w:rPr>
        <w:t xml:space="preserve"> </w:t>
      </w:r>
      <w:r>
        <w:rPr>
          <w:rFonts w:ascii="Arial" w:hAnsi="Arial"/>
          <w:sz w:val="20"/>
          <w:szCs w:val="20"/>
        </w:rPr>
        <w:t xml:space="preserve">In further differentiation </w:t>
      </w:r>
      <w:proofErr w:type="spellStart"/>
      <w:r>
        <w:rPr>
          <w:rFonts w:ascii="Arial" w:hAnsi="Arial"/>
          <w:b/>
          <w:sz w:val="20"/>
          <w:szCs w:val="20"/>
        </w:rPr>
        <w:t>Gnielka</w:t>
      </w:r>
      <w:proofErr w:type="spellEnd"/>
      <w:r>
        <w:rPr>
          <w:rFonts w:ascii="Arial" w:hAnsi="Arial"/>
          <w:sz w:val="20"/>
          <w:szCs w:val="20"/>
        </w:rPr>
        <w:t xml:space="preserve"> adds that, “</w:t>
      </w:r>
      <w:r>
        <w:rPr>
          <w:rFonts w:ascii="Arial" w:hAnsi="Arial"/>
          <w:i/>
          <w:sz w:val="20"/>
          <w:szCs w:val="20"/>
        </w:rPr>
        <w:t>The prices for existing properties in need of work to make them more energy efficient and located in places inadequately served by public transport could fall by as much as 35 per cent by the end of the coming year.</w:t>
      </w:r>
      <w:r>
        <w:rPr>
          <w:rFonts w:ascii="Arial" w:hAnsi="Arial"/>
          <w:sz w:val="20"/>
          <w:szCs w:val="20"/>
        </w:rPr>
        <w:t xml:space="preserve"> </w:t>
      </w:r>
      <w:r>
        <w:rPr>
          <w:rFonts w:ascii="Arial" w:hAnsi="Arial"/>
          <w:i/>
          <w:sz w:val="20"/>
          <w:szCs w:val="20"/>
        </w:rPr>
        <w:t>In view of the changes on the market, a property’s energy performance is no longer a secondary consideration but a prime purchase criterion.”</w:t>
      </w:r>
      <w:r>
        <w:rPr>
          <w:rFonts w:ascii="Arial" w:hAnsi="Arial"/>
          <w:sz w:val="20"/>
          <w:szCs w:val="20"/>
        </w:rPr>
        <w:t xml:space="preserve"> Only in premium waterside locations by the </w:t>
      </w:r>
      <w:proofErr w:type="spellStart"/>
      <w:r>
        <w:rPr>
          <w:rFonts w:ascii="Arial" w:hAnsi="Arial"/>
          <w:sz w:val="20"/>
          <w:szCs w:val="20"/>
        </w:rPr>
        <w:t>Alster</w:t>
      </w:r>
      <w:proofErr w:type="spellEnd"/>
      <w:r>
        <w:rPr>
          <w:rFonts w:ascii="Arial" w:hAnsi="Arial"/>
          <w:sz w:val="20"/>
          <w:szCs w:val="20"/>
        </w:rPr>
        <w:t xml:space="preserve"> and Elbe are prices more or less stable. Since fewer people are in a position to buy such properties, prospective new owners have more scope to negotiate prices. </w:t>
      </w:r>
    </w:p>
    <w:p w14:paraId="2CE8CCB1" w14:textId="77777777" w:rsidR="00B2778D" w:rsidRDefault="00B2778D" w:rsidP="00B2778D">
      <w:pPr>
        <w:spacing w:after="0" w:line="360" w:lineRule="auto"/>
        <w:rPr>
          <w:rFonts w:ascii="Arial" w:hAnsi="Arial" w:cs="Arial"/>
          <w:sz w:val="20"/>
          <w:szCs w:val="20"/>
        </w:rPr>
      </w:pPr>
    </w:p>
    <w:p w14:paraId="7A0178B1" w14:textId="77777777" w:rsidR="00B2778D" w:rsidRPr="008C2FB3" w:rsidRDefault="007136D5" w:rsidP="00B2778D">
      <w:pPr>
        <w:spacing w:after="0" w:line="360" w:lineRule="auto"/>
        <w:rPr>
          <w:rFonts w:ascii="Arial" w:hAnsi="Arial" w:cs="Arial"/>
          <w:b/>
          <w:sz w:val="20"/>
          <w:szCs w:val="20"/>
        </w:rPr>
      </w:pPr>
      <w:r>
        <w:rPr>
          <w:rFonts w:ascii="Arial" w:hAnsi="Arial"/>
          <w:b/>
          <w:sz w:val="20"/>
          <w:szCs w:val="20"/>
        </w:rPr>
        <w:t>More opportunities to buy real estate</w:t>
      </w:r>
    </w:p>
    <w:p w14:paraId="258008B3" w14:textId="52610F52" w:rsidR="00B2778D" w:rsidRDefault="00B2778D" w:rsidP="00B2778D">
      <w:pPr>
        <w:spacing w:after="0" w:line="360" w:lineRule="auto"/>
        <w:rPr>
          <w:rFonts w:ascii="Arial" w:hAnsi="Arial" w:cs="Arial"/>
          <w:sz w:val="20"/>
          <w:szCs w:val="20"/>
        </w:rPr>
      </w:pPr>
      <w:r>
        <w:rPr>
          <w:rFonts w:ascii="Arial" w:hAnsi="Arial"/>
          <w:i/>
          <w:sz w:val="20"/>
          <w:szCs w:val="20"/>
        </w:rPr>
        <w:t>“Since this spring, there has been far more choice than in previous years. This situation will remain unchanged in 2023, and buyers with deep pockets will be at a particular advantage,”</w:t>
      </w:r>
      <w:r>
        <w:rPr>
          <w:rFonts w:ascii="Arial" w:hAnsi="Arial"/>
          <w:sz w:val="20"/>
          <w:szCs w:val="20"/>
        </w:rPr>
        <w:t xml:space="preserve"> says </w:t>
      </w:r>
      <w:proofErr w:type="spellStart"/>
      <w:r>
        <w:rPr>
          <w:rFonts w:ascii="Arial" w:hAnsi="Arial"/>
          <w:b/>
          <w:sz w:val="20"/>
          <w:szCs w:val="20"/>
        </w:rPr>
        <w:t>Gnielka</w:t>
      </w:r>
      <w:proofErr w:type="spellEnd"/>
      <w:r>
        <w:rPr>
          <w:rFonts w:ascii="Arial" w:hAnsi="Arial"/>
          <w:sz w:val="20"/>
          <w:szCs w:val="20"/>
        </w:rPr>
        <w:t xml:space="preserve">. However, the new environment also means that an entire segment of potential buyers has been squeezed out of the market: families that, up until the start of the year, were able to afford a small row house </w:t>
      </w:r>
      <w:r w:rsidR="008D0E1A">
        <w:rPr>
          <w:rFonts w:ascii="Arial" w:hAnsi="Arial"/>
          <w:sz w:val="20"/>
          <w:szCs w:val="20"/>
        </w:rPr>
        <w:t xml:space="preserve">in the environs or </w:t>
      </w:r>
      <w:r>
        <w:rPr>
          <w:rFonts w:ascii="Arial" w:hAnsi="Arial"/>
          <w:sz w:val="20"/>
          <w:szCs w:val="20"/>
        </w:rPr>
        <w:t>on the edge of the city now find themselves unable to obtain a bank loan for their purchase.</w:t>
      </w:r>
      <w:r>
        <w:rPr>
          <w:rFonts w:ascii="Arial" w:hAnsi="Arial"/>
          <w:color w:val="000000"/>
          <w:sz w:val="20"/>
          <w:szCs w:val="20"/>
        </w:rPr>
        <w:t xml:space="preserve"> </w:t>
      </w:r>
      <w:r>
        <w:rPr>
          <w:rFonts w:ascii="Arial" w:hAnsi="Arial"/>
          <w:sz w:val="20"/>
          <w:szCs w:val="20"/>
        </w:rPr>
        <w:t>Altered parameters have meant that pre-built real estate, even when priced at fair market value, tends to be on the market for six months until sold, whereas the normal selling time used to be less than three months.</w:t>
      </w:r>
    </w:p>
    <w:p w14:paraId="3BDA922B" w14:textId="77777777" w:rsidR="00B2778D" w:rsidRDefault="00B2778D" w:rsidP="00B2778D">
      <w:pPr>
        <w:spacing w:after="0" w:line="360" w:lineRule="auto"/>
        <w:rPr>
          <w:rFonts w:ascii="Arial" w:hAnsi="Arial" w:cs="Arial"/>
          <w:sz w:val="20"/>
          <w:szCs w:val="20"/>
        </w:rPr>
      </w:pPr>
    </w:p>
    <w:p w14:paraId="4B265EFA" w14:textId="77777777" w:rsidR="00B2778D" w:rsidRPr="008145D5" w:rsidRDefault="00EF43DD" w:rsidP="00B2778D">
      <w:pPr>
        <w:spacing w:after="0" w:line="360" w:lineRule="auto"/>
        <w:rPr>
          <w:rFonts w:ascii="Arial" w:hAnsi="Arial" w:cs="Arial"/>
          <w:b/>
          <w:sz w:val="20"/>
          <w:szCs w:val="20"/>
        </w:rPr>
      </w:pPr>
      <w:r>
        <w:rPr>
          <w:rFonts w:ascii="Arial" w:hAnsi="Arial"/>
          <w:b/>
          <w:sz w:val="20"/>
          <w:szCs w:val="20"/>
        </w:rPr>
        <w:t>Estate agents are closing the current information gap</w:t>
      </w:r>
    </w:p>
    <w:p w14:paraId="1A16711E" w14:textId="4117DBAD" w:rsidR="00B2778D" w:rsidRDefault="00B2778D" w:rsidP="00B2778D">
      <w:pPr>
        <w:spacing w:after="0" w:line="360" w:lineRule="auto"/>
        <w:rPr>
          <w:rFonts w:ascii="Arial" w:hAnsi="Arial" w:cs="Arial"/>
          <w:i/>
          <w:sz w:val="20"/>
          <w:szCs w:val="20"/>
        </w:rPr>
      </w:pPr>
      <w:r>
        <w:rPr>
          <w:rFonts w:ascii="Arial" w:hAnsi="Arial"/>
          <w:i/>
          <w:sz w:val="20"/>
          <w:szCs w:val="20"/>
        </w:rPr>
        <w:t xml:space="preserve">“Naturally, owners and potential buyers find the situation unsettling. Therefore </w:t>
      </w:r>
      <w:r w:rsidR="00B37201">
        <w:rPr>
          <w:rFonts w:ascii="Arial" w:hAnsi="Arial"/>
          <w:i/>
          <w:sz w:val="20"/>
          <w:szCs w:val="20"/>
        </w:rPr>
        <w:t xml:space="preserve">they feel a greater need for </w:t>
      </w:r>
      <w:r>
        <w:rPr>
          <w:rFonts w:ascii="Arial" w:hAnsi="Arial"/>
          <w:i/>
          <w:sz w:val="20"/>
          <w:szCs w:val="20"/>
        </w:rPr>
        <w:t>consultanc</w:t>
      </w:r>
      <w:r w:rsidR="00B37201">
        <w:rPr>
          <w:rFonts w:ascii="Arial" w:hAnsi="Arial"/>
          <w:i/>
          <w:sz w:val="20"/>
          <w:szCs w:val="20"/>
        </w:rPr>
        <w:t>y services</w:t>
      </w:r>
      <w:r>
        <w:rPr>
          <w:rFonts w:ascii="Arial" w:hAnsi="Arial"/>
          <w:i/>
          <w:sz w:val="20"/>
          <w:szCs w:val="20"/>
        </w:rPr>
        <w:t>,”</w:t>
      </w:r>
      <w:r>
        <w:rPr>
          <w:rFonts w:ascii="Arial" w:hAnsi="Arial"/>
          <w:sz w:val="20"/>
          <w:szCs w:val="20"/>
        </w:rPr>
        <w:t xml:space="preserve"> remarks </w:t>
      </w:r>
      <w:proofErr w:type="spellStart"/>
      <w:r>
        <w:rPr>
          <w:rFonts w:ascii="Arial" w:hAnsi="Arial"/>
          <w:b/>
          <w:sz w:val="20"/>
          <w:szCs w:val="20"/>
        </w:rPr>
        <w:t>Gnielka</w:t>
      </w:r>
      <w:proofErr w:type="spellEnd"/>
      <w:r w:rsidRPr="008D0E1A">
        <w:rPr>
          <w:rFonts w:ascii="Arial" w:hAnsi="Arial"/>
          <w:sz w:val="20"/>
          <w:szCs w:val="20"/>
        </w:rPr>
        <w:t>,</w:t>
      </w:r>
      <w:r>
        <w:rPr>
          <w:rFonts w:ascii="Arial" w:hAnsi="Arial"/>
          <w:sz w:val="20"/>
          <w:szCs w:val="20"/>
        </w:rPr>
        <w:t xml:space="preserve"> speaking for his team. Because, unlike 2021, the asking prices on online portals are vastly different from the finally agreed purchase prices, a survey of these websites and the figures supplied by the Real Estate Evaluation Committees (</w:t>
      </w:r>
      <w:proofErr w:type="spellStart"/>
      <w:r>
        <w:rPr>
          <w:rFonts w:ascii="Arial" w:hAnsi="Arial"/>
          <w:sz w:val="20"/>
          <w:szCs w:val="20"/>
        </w:rPr>
        <w:t>Guterachterausschüsse</w:t>
      </w:r>
      <w:proofErr w:type="spellEnd"/>
      <w:r>
        <w:rPr>
          <w:rFonts w:ascii="Arial" w:hAnsi="Arial"/>
          <w:sz w:val="20"/>
          <w:szCs w:val="20"/>
        </w:rPr>
        <w:t xml:space="preserve">) are not a true reflection </w:t>
      </w:r>
      <w:r>
        <w:rPr>
          <w:rFonts w:ascii="Arial" w:hAnsi="Arial"/>
          <w:sz w:val="20"/>
          <w:szCs w:val="20"/>
        </w:rPr>
        <w:lastRenderedPageBreak/>
        <w:t xml:space="preserve">of the market’s present state. </w:t>
      </w:r>
      <w:r>
        <w:rPr>
          <w:rFonts w:ascii="Arial" w:hAnsi="Arial"/>
          <w:i/>
          <w:sz w:val="20"/>
          <w:szCs w:val="20"/>
        </w:rPr>
        <w:t>“We, the actors on the market, immediately register all changes and can close the information gap.”</w:t>
      </w:r>
    </w:p>
    <w:p w14:paraId="6478585E" w14:textId="77777777" w:rsidR="00B91804" w:rsidRDefault="00B91804" w:rsidP="00B2778D">
      <w:pPr>
        <w:spacing w:after="0" w:line="360" w:lineRule="auto"/>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800"/>
      </w:tblGrid>
      <w:tr w:rsidR="008D0E1A" w14:paraId="363B6352" w14:textId="77777777" w:rsidTr="00557B8B">
        <w:tc>
          <w:tcPr>
            <w:tcW w:w="9636" w:type="dxa"/>
            <w:gridSpan w:val="2"/>
          </w:tcPr>
          <w:p w14:paraId="5BCEE0A8" w14:textId="77777777" w:rsidR="008D0E1A" w:rsidRPr="00EF43DD" w:rsidRDefault="008D0E1A" w:rsidP="00EF43DD">
            <w:pPr>
              <w:spacing w:after="0" w:line="360" w:lineRule="auto"/>
              <w:rPr>
                <w:rFonts w:ascii="Arial" w:hAnsi="Arial" w:cs="Arial"/>
                <w:sz w:val="20"/>
                <w:szCs w:val="20"/>
              </w:rPr>
            </w:pPr>
            <w:r>
              <w:rPr>
                <w:rFonts w:ascii="Arial" w:hAnsi="Arial"/>
                <w:b/>
                <w:sz w:val="20"/>
                <w:szCs w:val="20"/>
              </w:rPr>
              <w:t>G&amp;B Property Price Trend</w:t>
            </w:r>
            <w:r>
              <w:rPr>
                <w:rFonts w:ascii="Arial" w:hAnsi="Arial"/>
                <w:sz w:val="20"/>
                <w:szCs w:val="20"/>
              </w:rPr>
              <w:t>:</w:t>
            </w:r>
          </w:p>
          <w:p w14:paraId="2A8D65E6" w14:textId="77777777" w:rsidR="008D0E1A" w:rsidRPr="00EF43DD" w:rsidRDefault="008D0E1A" w:rsidP="00EF43DD">
            <w:pPr>
              <w:spacing w:after="0" w:line="360" w:lineRule="auto"/>
              <w:rPr>
                <w:rFonts w:ascii="Arial" w:hAnsi="Arial" w:cs="Arial"/>
                <w:sz w:val="20"/>
                <w:szCs w:val="20"/>
              </w:rPr>
            </w:pPr>
            <w:r>
              <w:rPr>
                <w:rFonts w:ascii="Arial" w:hAnsi="Arial"/>
                <w:sz w:val="20"/>
                <w:szCs w:val="20"/>
              </w:rPr>
              <w:t xml:space="preserve">Assessment of the attainable prices for standard properties, </w:t>
            </w:r>
            <w:proofErr w:type="spellStart"/>
            <w:r>
              <w:rPr>
                <w:rFonts w:ascii="Arial" w:hAnsi="Arial"/>
                <w:sz w:val="20"/>
                <w:szCs w:val="20"/>
              </w:rPr>
              <w:t>well constructed</w:t>
            </w:r>
            <w:proofErr w:type="spellEnd"/>
            <w:r>
              <w:rPr>
                <w:rFonts w:ascii="Arial" w:hAnsi="Arial"/>
                <w:sz w:val="20"/>
                <w:szCs w:val="20"/>
              </w:rPr>
              <w:t xml:space="preserve"> and fitted out, in good residential neighbourhoods:</w:t>
            </w:r>
          </w:p>
          <w:p w14:paraId="0D8AEC5E" w14:textId="77777777" w:rsidR="008D0E1A" w:rsidRPr="00EF43DD" w:rsidRDefault="008D0E1A" w:rsidP="00EF43DD">
            <w:pPr>
              <w:spacing w:after="0" w:line="360" w:lineRule="auto"/>
              <w:rPr>
                <w:rFonts w:ascii="Arial" w:hAnsi="Arial" w:cs="Arial"/>
                <w:sz w:val="20"/>
                <w:szCs w:val="20"/>
              </w:rPr>
            </w:pPr>
            <w:r>
              <w:rPr>
                <w:rFonts w:ascii="Arial" w:hAnsi="Arial"/>
                <w:sz w:val="20"/>
                <w:szCs w:val="20"/>
              </w:rPr>
              <w:t xml:space="preserve">* </w:t>
            </w:r>
            <w:r>
              <w:rPr>
                <w:rFonts w:ascii="Arial" w:hAnsi="Arial"/>
                <w:sz w:val="20"/>
                <w:szCs w:val="20"/>
                <w:u w:val="single"/>
              </w:rPr>
              <w:t>Standard single family house</w:t>
            </w:r>
            <w:r>
              <w:rPr>
                <w:rFonts w:ascii="Arial" w:hAnsi="Arial"/>
                <w:sz w:val="20"/>
                <w:szCs w:val="20"/>
              </w:rPr>
              <w:t>: detached, with cellar, at least 130m² of living space, plot size typical for the location</w:t>
            </w:r>
          </w:p>
          <w:p w14:paraId="259A9463" w14:textId="77777777" w:rsidR="008D0E1A" w:rsidRDefault="008D0E1A" w:rsidP="00EF43DD">
            <w:pPr>
              <w:spacing w:after="0" w:line="360" w:lineRule="auto"/>
              <w:textAlignment w:val="baseline"/>
              <w:rPr>
                <w:rFonts w:ascii="Arial" w:hAnsi="Arial" w:cs="Arial"/>
                <w:sz w:val="20"/>
                <w:szCs w:val="20"/>
              </w:rPr>
            </w:pPr>
            <w:r>
              <w:rPr>
                <w:rFonts w:ascii="Arial" w:hAnsi="Arial"/>
                <w:sz w:val="20"/>
                <w:szCs w:val="20"/>
              </w:rPr>
              <w:t xml:space="preserve">** </w:t>
            </w:r>
            <w:r>
              <w:rPr>
                <w:rFonts w:ascii="Arial" w:hAnsi="Arial"/>
                <w:sz w:val="20"/>
                <w:szCs w:val="20"/>
                <w:u w:val="single"/>
              </w:rPr>
              <w:t>Standard condominium</w:t>
            </w:r>
            <w:r>
              <w:rPr>
                <w:rFonts w:ascii="Arial" w:hAnsi="Arial"/>
                <w:sz w:val="20"/>
                <w:szCs w:val="20"/>
              </w:rPr>
              <w:t>: vacant, 3 rooms, around 80 m² living space, 1st upper floor, lift (elevator), fitted kitchen</w:t>
            </w:r>
          </w:p>
        </w:tc>
      </w:tr>
      <w:tr w:rsidR="00EF43DD" w14:paraId="51E99562" w14:textId="77777777" w:rsidTr="008D0E1A">
        <w:tc>
          <w:tcPr>
            <w:tcW w:w="4836" w:type="dxa"/>
          </w:tcPr>
          <w:p w14:paraId="1F5E13F6" w14:textId="4ED6ECDE" w:rsidR="00B2778D" w:rsidRDefault="00CB3E6F" w:rsidP="00044264">
            <w:pPr>
              <w:spacing w:after="0" w:line="360" w:lineRule="auto"/>
              <w:rPr>
                <w:rFonts w:ascii="Arial" w:hAnsi="Arial" w:cs="Arial"/>
                <w:sz w:val="20"/>
                <w:szCs w:val="20"/>
              </w:rPr>
            </w:pPr>
            <w:r>
              <w:rPr>
                <w:rFonts w:ascii="Arial" w:hAnsi="Arial"/>
                <w:noProof/>
                <w:sz w:val="20"/>
                <w:szCs w:val="20"/>
                <w:lang w:val="de-DE" w:eastAsia="de-DE"/>
              </w:rPr>
              <w:drawing>
                <wp:inline distT="0" distB="0" distL="0" distR="0" wp14:anchorId="2649CDC0" wp14:editId="4C55E376">
                  <wp:extent cx="2928257" cy="1952171"/>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ssBorstel - Hamburg.jpg"/>
                          <pic:cNvPicPr/>
                        </pic:nvPicPr>
                        <pic:blipFill>
                          <a:blip r:embed="rId8" cstate="print">
                            <a:extLst>
                              <a:ext uri="{28A0092B-C50C-407E-A947-70E740481C1C}">
                                <a14:useLocalDpi xmlns:a14="http://schemas.microsoft.com/office/drawing/2010/main"/>
                              </a:ext>
                            </a:extLst>
                          </a:blip>
                          <a:stretch>
                            <a:fillRect/>
                          </a:stretch>
                        </pic:blipFill>
                        <pic:spPr>
                          <a:xfrm>
                            <a:off x="0" y="0"/>
                            <a:ext cx="2930134" cy="1953422"/>
                          </a:xfrm>
                          <a:prstGeom prst="rect">
                            <a:avLst/>
                          </a:prstGeom>
                        </pic:spPr>
                      </pic:pic>
                    </a:graphicData>
                  </a:graphic>
                </wp:inline>
              </w:drawing>
            </w:r>
          </w:p>
        </w:tc>
        <w:tc>
          <w:tcPr>
            <w:tcW w:w="4800" w:type="dxa"/>
          </w:tcPr>
          <w:p w14:paraId="77308FAB" w14:textId="77777777" w:rsidR="00B2778D" w:rsidRDefault="00B2778D" w:rsidP="00044264">
            <w:pPr>
              <w:spacing w:after="0" w:line="360" w:lineRule="auto"/>
              <w:rPr>
                <w:rFonts w:ascii="Arial" w:hAnsi="Arial" w:cs="Arial"/>
                <w:sz w:val="20"/>
                <w:szCs w:val="20"/>
              </w:rPr>
            </w:pPr>
            <w:r>
              <w:rPr>
                <w:rFonts w:ascii="Arial" w:hAnsi="Arial"/>
                <w:sz w:val="20"/>
                <w:szCs w:val="20"/>
              </w:rPr>
              <w:t>Photo:</w:t>
            </w:r>
          </w:p>
          <w:p w14:paraId="1D048204" w14:textId="47C61946" w:rsidR="00B2778D" w:rsidRPr="000608FB" w:rsidRDefault="00CB3E6F" w:rsidP="00044264">
            <w:pPr>
              <w:spacing w:after="0" w:line="360" w:lineRule="auto"/>
              <w:rPr>
                <w:rFonts w:ascii="Arial" w:hAnsi="Arial" w:cs="Arial"/>
                <w:sz w:val="20"/>
                <w:szCs w:val="20"/>
              </w:rPr>
            </w:pPr>
            <w:r>
              <w:rPr>
                <w:rFonts w:ascii="Arial" w:hAnsi="Arial"/>
                <w:sz w:val="20"/>
                <w:szCs w:val="20"/>
              </w:rPr>
              <w:t>It is especially hard to sell big houses with a low energy efficiency rating in view of current energy costs.</w:t>
            </w:r>
          </w:p>
          <w:p w14:paraId="50FCA6B3" w14:textId="77777777" w:rsidR="00B2778D" w:rsidRDefault="00B2778D" w:rsidP="00044264">
            <w:pPr>
              <w:spacing w:after="0" w:line="360" w:lineRule="auto"/>
              <w:rPr>
                <w:rFonts w:ascii="Arial" w:hAnsi="Arial" w:cs="Arial"/>
                <w:sz w:val="20"/>
                <w:szCs w:val="20"/>
              </w:rPr>
            </w:pPr>
          </w:p>
          <w:p w14:paraId="0793F34D" w14:textId="79D0E9C2" w:rsidR="00B2778D" w:rsidRDefault="00B2778D" w:rsidP="00CB3E6F">
            <w:pPr>
              <w:spacing w:after="0" w:line="360" w:lineRule="auto"/>
              <w:rPr>
                <w:rFonts w:ascii="Arial" w:hAnsi="Arial" w:cs="Arial"/>
                <w:sz w:val="20"/>
                <w:szCs w:val="20"/>
              </w:rPr>
            </w:pPr>
            <w:r>
              <w:rPr>
                <w:rFonts w:ascii="Arial" w:hAnsi="Arial"/>
                <w:sz w:val="20"/>
                <w:szCs w:val="20"/>
              </w:rPr>
              <w:t xml:space="preserve">Source of image: </w:t>
            </w:r>
            <w:proofErr w:type="spellStart"/>
            <w:r>
              <w:rPr>
                <w:rFonts w:ascii="Arial" w:hAnsi="Arial"/>
                <w:sz w:val="20"/>
                <w:szCs w:val="20"/>
              </w:rPr>
              <w:t>Arnt</w:t>
            </w:r>
            <w:proofErr w:type="spellEnd"/>
            <w:r>
              <w:rPr>
                <w:rFonts w:ascii="Arial" w:hAnsi="Arial"/>
                <w:sz w:val="20"/>
                <w:szCs w:val="20"/>
              </w:rPr>
              <w:t xml:space="preserve"> </w:t>
            </w:r>
            <w:proofErr w:type="spellStart"/>
            <w:r>
              <w:rPr>
                <w:rFonts w:ascii="Arial" w:hAnsi="Arial"/>
                <w:sz w:val="20"/>
                <w:szCs w:val="20"/>
              </w:rPr>
              <w:t>Haug</w:t>
            </w:r>
            <w:proofErr w:type="spellEnd"/>
            <w:r>
              <w:rPr>
                <w:rFonts w:ascii="Arial" w:hAnsi="Arial"/>
                <w:sz w:val="20"/>
                <w:szCs w:val="20"/>
              </w:rPr>
              <w:t xml:space="preserve"> / Grossmann &amp; Berger GmbH</w:t>
            </w:r>
          </w:p>
        </w:tc>
      </w:tr>
    </w:tbl>
    <w:p w14:paraId="0914A43A" w14:textId="77777777" w:rsidR="00EF43DD" w:rsidRDefault="00EF43DD" w:rsidP="00EF43DD">
      <w:pPr>
        <w:spacing w:after="0" w:line="360" w:lineRule="auto"/>
        <w:textAlignment w:val="baseline"/>
        <w:rPr>
          <w:rFonts w:ascii="Arial" w:eastAsia="Arial" w:hAnsi="Arial" w:cs="Arial"/>
          <w:color w:val="000000" w:themeColor="text1"/>
          <w:sz w:val="20"/>
          <w:szCs w:val="20"/>
        </w:rPr>
      </w:pPr>
    </w:p>
    <w:p w14:paraId="77ECED74" w14:textId="0FCC05F4" w:rsidR="00EF43DD" w:rsidRDefault="00EF43DD" w:rsidP="00EF43DD">
      <w:pPr>
        <w:spacing w:after="0" w:line="360" w:lineRule="auto"/>
        <w:textAlignment w:val="baseline"/>
        <w:rPr>
          <w:rFonts w:ascii="Arial" w:eastAsia="Arial" w:hAnsi="Arial" w:cs="Arial"/>
          <w:color w:val="000000" w:themeColor="text1"/>
          <w:sz w:val="20"/>
          <w:szCs w:val="20"/>
        </w:rPr>
      </w:pPr>
      <w:r>
        <w:rPr>
          <w:rFonts w:ascii="Arial" w:hAnsi="Arial"/>
          <w:color w:val="000000" w:themeColor="text1"/>
          <w:sz w:val="20"/>
          <w:szCs w:val="20"/>
        </w:rPr>
        <w:t>The</w:t>
      </w:r>
      <w:r w:rsidR="00F52EF1">
        <w:rPr>
          <w:rFonts w:ascii="Arial" w:hAnsi="Arial"/>
          <w:color w:val="000000" w:themeColor="text1"/>
          <w:sz w:val="20"/>
          <w:szCs w:val="20"/>
        </w:rPr>
        <w:t xml:space="preserve"> </w:t>
      </w:r>
      <w:hyperlink r:id="rId9" w:history="1">
        <w:r w:rsidR="00F52EF1" w:rsidRPr="008D0E1A">
          <w:rPr>
            <w:rStyle w:val="Hyperlink"/>
            <w:rFonts w:ascii="Arial" w:hAnsi="Arial"/>
            <w:sz w:val="20"/>
            <w:szCs w:val="20"/>
          </w:rPr>
          <w:t>Market</w:t>
        </w:r>
        <w:r w:rsidRPr="008D0E1A">
          <w:rPr>
            <w:rStyle w:val="Hyperlink"/>
            <w:rFonts w:ascii="Arial" w:hAnsi="Arial"/>
            <w:sz w:val="20"/>
            <w:szCs w:val="20"/>
          </w:rPr>
          <w:t xml:space="preserve"> survey for </w:t>
        </w:r>
        <w:r w:rsidR="008D0E1A">
          <w:rPr>
            <w:rStyle w:val="Hyperlink"/>
            <w:rFonts w:ascii="Arial" w:hAnsi="Arial"/>
            <w:sz w:val="20"/>
            <w:szCs w:val="20"/>
          </w:rPr>
          <w:t xml:space="preserve">pre-built </w:t>
        </w:r>
        <w:r w:rsidRPr="008D0E1A">
          <w:rPr>
            <w:rStyle w:val="Hyperlink"/>
            <w:rFonts w:ascii="Arial" w:hAnsi="Arial"/>
            <w:sz w:val="20"/>
            <w:szCs w:val="20"/>
          </w:rPr>
          <w:t>residential properties in Hamburg and the environs 2022/2023</w:t>
        </w:r>
      </w:hyperlink>
      <w:r>
        <w:rPr>
          <w:rFonts w:ascii="Arial" w:hAnsi="Arial"/>
          <w:color w:val="000000" w:themeColor="text1"/>
          <w:sz w:val="20"/>
          <w:szCs w:val="20"/>
        </w:rPr>
        <w:t xml:space="preserve"> is available to download from our website</w:t>
      </w:r>
      <w:r w:rsidR="008D0E1A">
        <w:rPr>
          <w:rFonts w:ascii="Arial" w:hAnsi="Arial"/>
          <w:color w:val="000000" w:themeColor="text1"/>
          <w:sz w:val="20"/>
          <w:szCs w:val="20"/>
        </w:rPr>
        <w:t xml:space="preserve"> (in German only)</w:t>
      </w:r>
      <w:r>
        <w:rPr>
          <w:rFonts w:ascii="Arial" w:hAnsi="Arial"/>
          <w:color w:val="000000" w:themeColor="text1"/>
          <w:sz w:val="20"/>
          <w:szCs w:val="20"/>
        </w:rPr>
        <w:t>.</w:t>
      </w:r>
    </w:p>
    <w:p w14:paraId="575E77AC" w14:textId="77777777" w:rsidR="00B2778D" w:rsidRDefault="00B2778D" w:rsidP="00B2778D">
      <w:pPr>
        <w:spacing w:after="0" w:line="360" w:lineRule="auto"/>
        <w:rPr>
          <w:rFonts w:ascii="Arial" w:hAnsi="Arial" w:cs="Arial"/>
          <w:sz w:val="20"/>
          <w:szCs w:val="20"/>
        </w:rPr>
      </w:pPr>
    </w:p>
    <w:p w14:paraId="5E21D720" w14:textId="77777777" w:rsidR="00B2778D" w:rsidRPr="0090748B" w:rsidRDefault="00B2778D" w:rsidP="00B2778D">
      <w:pPr>
        <w:spacing w:after="0" w:line="360" w:lineRule="auto"/>
        <w:rPr>
          <w:rFonts w:ascii="Arial" w:hAnsi="Arial" w:cs="Arial"/>
          <w:b/>
          <w:sz w:val="16"/>
          <w:szCs w:val="16"/>
        </w:rPr>
      </w:pPr>
      <w:r>
        <w:rPr>
          <w:rFonts w:ascii="Arial" w:hAnsi="Arial"/>
          <w:b/>
          <w:sz w:val="16"/>
          <w:szCs w:val="16"/>
        </w:rPr>
        <w:t>About Grossmann &amp; Berger</w:t>
      </w:r>
    </w:p>
    <w:p w14:paraId="5346D811" w14:textId="13C6BD8C" w:rsidR="00B2778D" w:rsidRPr="00521AA1" w:rsidRDefault="00AD72CC" w:rsidP="00B2778D">
      <w:pPr>
        <w:spacing w:after="0" w:line="360" w:lineRule="auto"/>
        <w:rPr>
          <w:rFonts w:ascii="Arial" w:hAnsi="Arial" w:cs="Arial"/>
          <w:vanish/>
          <w:sz w:val="16"/>
          <w:szCs w:val="16"/>
          <w:specVanish/>
        </w:rPr>
      </w:pPr>
      <w:hyperlink r:id="rId10" w:history="1">
        <w:r w:rsidR="00B2778D">
          <w:rPr>
            <w:rStyle w:val="Hyperlink"/>
            <w:rFonts w:ascii="Arial" w:hAnsi="Arial"/>
            <w:snapToGrid w:val="0"/>
            <w:sz w:val="16"/>
            <w:szCs w:val="16"/>
          </w:rPr>
          <w:t>Grossmann &amp; Berger GmbH</w:t>
        </w:r>
      </w:hyperlink>
      <w:r w:rsidR="00B2778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B2778D">
          <w:rPr>
            <w:rStyle w:val="Hyperlink"/>
            <w:rFonts w:ascii="Arial" w:hAnsi="Arial"/>
            <w:snapToGrid w:val="0"/>
            <w:sz w:val="16"/>
            <w:szCs w:val="16"/>
          </w:rPr>
          <w:t>E &amp; G Real Estate</w:t>
        </w:r>
      </w:hyperlink>
      <w:r w:rsidR="00B2778D">
        <w:rPr>
          <w:rFonts w:ascii="Arial" w:hAnsi="Arial"/>
          <w:snapToGrid w:val="0"/>
          <w:sz w:val="16"/>
          <w:szCs w:val="16"/>
        </w:rPr>
        <w:t xml:space="preserve"> and</w:t>
      </w:r>
      <w:r w:rsidR="00B2778D">
        <w:rPr>
          <w:rFonts w:ascii="Arial" w:hAnsi="Arial"/>
          <w:snapToGrid w:val="0"/>
          <w:sz w:val="16"/>
          <w:szCs w:val="16"/>
        </w:rPr>
        <w:br/>
      </w:r>
      <w:hyperlink r:id="rId12" w:history="1">
        <w:r w:rsidR="00B2778D">
          <w:rPr>
            <w:rStyle w:val="Hyperlink"/>
            <w:rFonts w:ascii="Arial" w:hAnsi="Arial"/>
            <w:snapToGrid w:val="0"/>
            <w:sz w:val="16"/>
            <w:szCs w:val="16"/>
          </w:rPr>
          <w:t xml:space="preserve">E &amp; G Private </w:t>
        </w:r>
        <w:proofErr w:type="spellStart"/>
        <w:r w:rsidR="00B2778D">
          <w:rPr>
            <w:rStyle w:val="Hyperlink"/>
            <w:rFonts w:ascii="Arial" w:hAnsi="Arial"/>
            <w:snapToGrid w:val="0"/>
            <w:sz w:val="16"/>
            <w:szCs w:val="16"/>
          </w:rPr>
          <w:t>Immobilien</w:t>
        </w:r>
        <w:proofErr w:type="spellEnd"/>
      </w:hyperlink>
      <w:r w:rsidR="00B2778D">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B2778D">
        <w:rPr>
          <w:rFonts w:ascii="Arial" w:hAnsi="Arial"/>
          <w:sz w:val="16"/>
          <w:szCs w:val="16"/>
        </w:rPr>
        <w:t xml:space="preserve">Grossmann &amp; Berger belongs to the HASPA Group and is a founding member of the national commercial real estate network </w:t>
      </w:r>
      <w:hyperlink r:id="rId13" w:history="1">
        <w:r w:rsidR="00B2778D">
          <w:rPr>
            <w:rStyle w:val="Hyperlink"/>
            <w:rFonts w:ascii="Arial" w:hAnsi="Arial"/>
            <w:sz w:val="16"/>
            <w:szCs w:val="16"/>
          </w:rPr>
          <w:t>German Property Partners</w:t>
        </w:r>
      </w:hyperlink>
      <w:r w:rsidR="00B2778D">
        <w:rPr>
          <w:rFonts w:ascii="Arial" w:hAnsi="Arial"/>
          <w:sz w:val="16"/>
          <w:szCs w:val="16"/>
        </w:rPr>
        <w:t xml:space="preserve"> (GPP).</w:t>
      </w:r>
    </w:p>
    <w:p w14:paraId="5FDBDE2A" w14:textId="77777777" w:rsidR="00B2778D" w:rsidRPr="00521AA1" w:rsidRDefault="00B2778D" w:rsidP="00B2778D">
      <w:pPr>
        <w:spacing w:after="0" w:line="360" w:lineRule="auto"/>
        <w:rPr>
          <w:rFonts w:ascii="Arial" w:hAnsi="Arial" w:cs="Arial"/>
          <w:sz w:val="16"/>
          <w:szCs w:val="16"/>
        </w:rPr>
      </w:pPr>
    </w:p>
    <w:p w14:paraId="10E6D0DF" w14:textId="77777777" w:rsidR="00B2778D" w:rsidRDefault="00B2778D" w:rsidP="00B2778D">
      <w:pPr>
        <w:spacing w:after="0" w:line="360" w:lineRule="auto"/>
        <w:rPr>
          <w:rFonts w:ascii="Arial" w:hAnsi="Arial" w:cs="Arial"/>
          <w:sz w:val="16"/>
          <w:szCs w:val="16"/>
        </w:rPr>
      </w:pPr>
    </w:p>
    <w:p w14:paraId="01E7A5CD" w14:textId="129183A7" w:rsidR="003F013B" w:rsidRPr="00B2778D" w:rsidRDefault="00B2778D" w:rsidP="00B2778D">
      <w:pPr>
        <w:spacing w:after="0" w:line="360" w:lineRule="auto"/>
        <w:rPr>
          <w:rStyle w:val="Fett"/>
          <w:rFonts w:ascii="Arial" w:hAnsi="Arial" w:cs="Arial"/>
          <w:b w:val="0"/>
          <w:color w:val="000000" w:themeColor="text1"/>
          <w:sz w:val="20"/>
          <w:szCs w:val="20"/>
        </w:rPr>
      </w:pPr>
      <w:r>
        <w:rPr>
          <w:rFonts w:ascii="Arial" w:hAnsi="Arial"/>
          <w:sz w:val="16"/>
          <w:szCs w:val="16"/>
        </w:rPr>
        <w:t>Please consult our website for Grossmann &amp; Berger’s</w:t>
      </w:r>
      <w:r w:rsidR="00F52EF1">
        <w:rPr>
          <w:rFonts w:ascii="Arial" w:hAnsi="Arial"/>
          <w:sz w:val="16"/>
          <w:szCs w:val="16"/>
        </w:rPr>
        <w:t xml:space="preserve"> </w:t>
      </w:r>
      <w:hyperlink r:id="rId14" w:history="1">
        <w:r>
          <w:rPr>
            <w:rStyle w:val="Hyperlink"/>
            <w:rFonts w:ascii="Arial" w:hAnsi="Arial"/>
            <w:sz w:val="16"/>
            <w:szCs w:val="16"/>
          </w:rPr>
          <w:t>data privacy policy</w:t>
        </w:r>
      </w:hyperlink>
      <w:r w:rsidR="00F52EF1">
        <w:rPr>
          <w:rFonts w:ascii="Arial" w:hAnsi="Arial"/>
          <w:sz w:val="16"/>
          <w:szCs w:val="16"/>
        </w:rPr>
        <w:t>.</w:t>
      </w:r>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w:t>
      </w:r>
      <w:bookmarkStart w:id="0" w:name="_GoBack"/>
      <w:bookmarkEnd w:id="0"/>
      <w:r>
        <w:rPr>
          <w:rFonts w:ascii="Arial" w:hAnsi="Arial"/>
          <w:sz w:val="16"/>
          <w:szCs w:val="16"/>
        </w:rPr>
        <w:t>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3F013B" w:rsidRPr="00B2778D" w:rsidSect="00D83CB7">
      <w:headerReference w:type="even" r:id="rId18"/>
      <w:headerReference w:type="default" r:id="rId19"/>
      <w:footerReference w:type="even" r:id="rId20"/>
      <w:footerReference w:type="default" r:id="rId21"/>
      <w:headerReference w:type="first" r:id="rId22"/>
      <w:footerReference w:type="first" r:id="rId23"/>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87D6" w14:textId="77777777" w:rsidR="0011291D" w:rsidRDefault="0011291D">
      <w:r>
        <w:separator/>
      </w:r>
    </w:p>
  </w:endnote>
  <w:endnote w:type="continuationSeparator" w:id="0">
    <w:p w14:paraId="5E004DF1" w14:textId="77777777" w:rsidR="0011291D" w:rsidRDefault="0011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E743" w14:textId="77777777" w:rsidR="00F7775B" w:rsidRDefault="00F777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29A5"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F52EF1">
      <w:rPr>
        <w:rFonts w:ascii="Arial" w:hAnsi="Arial"/>
        <w:b/>
        <w:bCs/>
        <w:color w:val="918F90"/>
        <w:sz w:val="18"/>
        <w:szCs w:val="18"/>
        <w:lang w:val="de-DE"/>
      </w:rPr>
      <w:t xml:space="preserve">Grossmann &amp; Berger GmbH </w:t>
    </w:r>
    <w:r w:rsidRPr="00F52EF1">
      <w:rPr>
        <w:rFonts w:ascii="Arial" w:hAnsi="Arial"/>
        <w:color w:val="918F90"/>
        <w:sz w:val="18"/>
        <w:szCs w:val="18"/>
        <w:lang w:val="de-DE"/>
      </w:rPr>
      <w:t xml:space="preserve">| </w:t>
    </w:r>
    <w:proofErr w:type="spellStart"/>
    <w:r w:rsidRPr="00F52EF1">
      <w:rPr>
        <w:rFonts w:ascii="Arial" w:hAnsi="Arial"/>
        <w:color w:val="918F90"/>
        <w:sz w:val="18"/>
        <w:szCs w:val="18"/>
        <w:lang w:val="de-DE"/>
      </w:rPr>
      <w:t>Bleichenbrücke</w:t>
    </w:r>
    <w:proofErr w:type="spellEnd"/>
    <w:r w:rsidRPr="00F52EF1">
      <w:rPr>
        <w:rFonts w:ascii="Arial" w:hAnsi="Arial"/>
        <w:color w:val="918F90"/>
        <w:sz w:val="18"/>
        <w:szCs w:val="18"/>
        <w:lang w:val="de-DE"/>
      </w:rPr>
      <w:t xml:space="preserve"> 9 | 20354 Hamburg | Tel. </w:t>
    </w:r>
    <w:r>
      <w:rPr>
        <w:rFonts w:ascii="Arial" w:hAnsi="Arial"/>
        <w:color w:val="918F90"/>
        <w:sz w:val="18"/>
        <w:szCs w:val="18"/>
      </w:rPr>
      <w:t>+49 (0)40 / 350 80 2-0 | grossmann-berger.de</w:t>
    </w:r>
  </w:p>
  <w:p w14:paraId="679C5A35" w14:textId="32BFD62B"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AD72C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AD72CC">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4E19" w14:textId="77777777" w:rsidR="008C608D" w:rsidRDefault="00644800">
    <w:pPr>
      <w:pStyle w:val="Fuzeile"/>
    </w:pPr>
    <w:r>
      <w:rPr>
        <w:noProof/>
        <w:lang w:val="de-DE" w:eastAsia="de-DE"/>
      </w:rPr>
      <w:drawing>
        <wp:anchor distT="0" distB="0" distL="114300" distR="114300" simplePos="0" relativeHeight="251660288" behindDoc="0" locked="0" layoutInCell="1" allowOverlap="1" wp14:anchorId="2F5E2B64" wp14:editId="4AB3570C">
          <wp:simplePos x="0" y="0"/>
          <wp:positionH relativeFrom="column">
            <wp:posOffset>-624674</wp:posOffset>
          </wp:positionH>
          <wp:positionV relativeFrom="paragraph">
            <wp:posOffset>-507861</wp:posOffset>
          </wp:positionV>
          <wp:extent cx="7378810" cy="8428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hne_Briefpapier_Wohnen.jpg"/>
                  <pic:cNvPicPr/>
                </pic:nvPicPr>
                <pic:blipFill rotWithShape="1">
                  <a:blip r:embed="rId1">
                    <a:extLst>
                      <a:ext uri="{28A0092B-C50C-407E-A947-70E740481C1C}">
                        <a14:useLocalDpi xmlns:a14="http://schemas.microsoft.com/office/drawing/2010/main" val="0"/>
                      </a:ext>
                    </a:extLst>
                  </a:blip>
                  <a:srcRect l="1158" r="1158" b="10148"/>
                  <a:stretch/>
                </pic:blipFill>
                <pic:spPr bwMode="auto">
                  <a:xfrm>
                    <a:off x="0" y="0"/>
                    <a:ext cx="7377785" cy="842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E4DD5" w14:textId="77777777" w:rsidR="0011291D" w:rsidRDefault="0011291D">
      <w:r>
        <w:separator/>
      </w:r>
    </w:p>
  </w:footnote>
  <w:footnote w:type="continuationSeparator" w:id="0">
    <w:p w14:paraId="589E6FEA" w14:textId="77777777" w:rsidR="0011291D" w:rsidRDefault="0011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C4DF" w14:textId="77777777" w:rsidR="00F7775B" w:rsidRDefault="00F777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BED3" w14:textId="77777777" w:rsidR="006138CB" w:rsidRPr="009E3ADA" w:rsidRDefault="000772E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4384" behindDoc="0" locked="0" layoutInCell="1" allowOverlap="1" wp14:anchorId="4DDC56F7" wp14:editId="19012F81">
              <wp:simplePos x="0" y="0"/>
              <wp:positionH relativeFrom="column">
                <wp:posOffset>-105941</wp:posOffset>
              </wp:positionH>
              <wp:positionV relativeFrom="paragraph">
                <wp:posOffset>22092</wp:posOffset>
              </wp:positionV>
              <wp:extent cx="4551529"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529" cy="1403985"/>
                      </a:xfrm>
                      <a:prstGeom prst="rect">
                        <a:avLst/>
                      </a:prstGeom>
                      <a:noFill/>
                      <a:ln w="9525">
                        <a:noFill/>
                        <a:miter lim="800000"/>
                        <a:headEnd/>
                        <a:tailEnd/>
                      </a:ln>
                    </wps:spPr>
                    <wps:txbx>
                      <w:txbxContent>
                        <w:p w14:paraId="5D1F3848" w14:textId="77777777"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DC56F7" id="_x0000_t202" coordsize="21600,21600" o:spt="202" path="m,l,21600r21600,l21600,xe">
              <v:stroke joinstyle="miter"/>
              <v:path gradientshapeok="t" o:connecttype="rect"/>
            </v:shapetype>
            <v:shape id="Textfeld 2" o:spid="_x0000_s1026" type="#_x0000_t202" style="position:absolute;left:0;text-align:left;margin-left:-8.35pt;margin-top:1.75pt;width:358.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" filled="f" stroked="f">
              <v:textbox style="mso-fit-shape-to-text:t">
                <w:txbxContent>
                  <w:p w14:paraId="5D1F3848" w14:textId="77777777"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166A8876" w14:textId="77777777" w:rsidR="00CE455F" w:rsidRDefault="00CE45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A4683" w14:textId="77777777" w:rsidR="00D04BA2" w:rsidRPr="009E3ADA" w:rsidRDefault="000772E6" w:rsidP="00D04BA2">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2336" behindDoc="0" locked="0" layoutInCell="1" allowOverlap="1" wp14:anchorId="5D881F4F" wp14:editId="4A26036C">
              <wp:simplePos x="0" y="0"/>
              <wp:positionH relativeFrom="column">
                <wp:posOffset>-92293</wp:posOffset>
              </wp:positionH>
              <wp:positionV relativeFrom="paragraph">
                <wp:posOffset>28916</wp:posOffset>
              </wp:positionV>
              <wp:extent cx="468800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006" cy="1403985"/>
                      </a:xfrm>
                      <a:prstGeom prst="rect">
                        <a:avLst/>
                      </a:prstGeom>
                      <a:noFill/>
                      <a:ln w="9525">
                        <a:noFill/>
                        <a:miter lim="800000"/>
                        <a:headEnd/>
                        <a:tailEnd/>
                      </a:ln>
                    </wps:spPr>
                    <wps:txbx>
                      <w:txbxContent>
                        <w:p w14:paraId="67D32BED" w14:textId="77777777"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81F4F" id="_x0000_t202" coordsize="21600,21600" o:spt="202" path="m,l,21600r21600,l21600,xe">
              <v:stroke joinstyle="miter"/>
              <v:path gradientshapeok="t" o:connecttype="rect"/>
            </v:shapetype>
            <v:shape id="_x0000_s1027" type="#_x0000_t202" style="position:absolute;left:0;text-align:left;margin-left:-7.25pt;margin-top:2.3pt;width:369.1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" filled="f" stroked="f">
              <v:textbox style="mso-fit-shape-to-text:t">
                <w:txbxContent>
                  <w:p w14:paraId="67D32BED" w14:textId="77777777" w:rsidR="000772E6" w:rsidRPr="001E3456" w:rsidRDefault="000772E6" w:rsidP="000772E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45D004DA" w14:textId="77777777" w:rsidR="00D83CB7" w:rsidRDefault="00D83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5C1393"/>
    <w:multiLevelType w:val="hybridMultilevel"/>
    <w:tmpl w:val="313A0E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3"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4"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CE02E44"/>
    <w:multiLevelType w:val="multilevel"/>
    <w:tmpl w:val="32C6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3"/>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170C7"/>
    <w:rsid w:val="00022F16"/>
    <w:rsid w:val="00023D78"/>
    <w:rsid w:val="0003075C"/>
    <w:rsid w:val="0005768A"/>
    <w:rsid w:val="00060743"/>
    <w:rsid w:val="000608FB"/>
    <w:rsid w:val="00065E38"/>
    <w:rsid w:val="00066796"/>
    <w:rsid w:val="000766D7"/>
    <w:rsid w:val="000772E6"/>
    <w:rsid w:val="000822C0"/>
    <w:rsid w:val="0009226A"/>
    <w:rsid w:val="000B3315"/>
    <w:rsid w:val="000E03F3"/>
    <w:rsid w:val="001029C4"/>
    <w:rsid w:val="0011291D"/>
    <w:rsid w:val="0011486D"/>
    <w:rsid w:val="001209C0"/>
    <w:rsid w:val="00121E33"/>
    <w:rsid w:val="001324D6"/>
    <w:rsid w:val="00135BD2"/>
    <w:rsid w:val="00154825"/>
    <w:rsid w:val="0017516B"/>
    <w:rsid w:val="00176F1D"/>
    <w:rsid w:val="001A2ABE"/>
    <w:rsid w:val="001A360C"/>
    <w:rsid w:val="001D14DA"/>
    <w:rsid w:val="001E6995"/>
    <w:rsid w:val="001F1513"/>
    <w:rsid w:val="00205769"/>
    <w:rsid w:val="00212FEC"/>
    <w:rsid w:val="002131BB"/>
    <w:rsid w:val="00227E31"/>
    <w:rsid w:val="00230F81"/>
    <w:rsid w:val="00246037"/>
    <w:rsid w:val="00254C6F"/>
    <w:rsid w:val="00281E80"/>
    <w:rsid w:val="002834B0"/>
    <w:rsid w:val="00283671"/>
    <w:rsid w:val="00284E27"/>
    <w:rsid w:val="002A1973"/>
    <w:rsid w:val="002C2392"/>
    <w:rsid w:val="002D1C5C"/>
    <w:rsid w:val="002E6860"/>
    <w:rsid w:val="002F0411"/>
    <w:rsid w:val="00325E2A"/>
    <w:rsid w:val="0034786C"/>
    <w:rsid w:val="003517C9"/>
    <w:rsid w:val="00370000"/>
    <w:rsid w:val="00373507"/>
    <w:rsid w:val="0038230E"/>
    <w:rsid w:val="00382529"/>
    <w:rsid w:val="003D421B"/>
    <w:rsid w:val="003E099F"/>
    <w:rsid w:val="003F013B"/>
    <w:rsid w:val="0040086D"/>
    <w:rsid w:val="004017D8"/>
    <w:rsid w:val="00407525"/>
    <w:rsid w:val="00411E03"/>
    <w:rsid w:val="004123B1"/>
    <w:rsid w:val="00412592"/>
    <w:rsid w:val="004303A1"/>
    <w:rsid w:val="004360AA"/>
    <w:rsid w:val="00440DC9"/>
    <w:rsid w:val="004506D2"/>
    <w:rsid w:val="00456F40"/>
    <w:rsid w:val="004609BD"/>
    <w:rsid w:val="004661EE"/>
    <w:rsid w:val="00466741"/>
    <w:rsid w:val="004A2BEA"/>
    <w:rsid w:val="004A3C64"/>
    <w:rsid w:val="004A5AEA"/>
    <w:rsid w:val="004B2FDA"/>
    <w:rsid w:val="004B3805"/>
    <w:rsid w:val="004B480A"/>
    <w:rsid w:val="004E339B"/>
    <w:rsid w:val="004E4562"/>
    <w:rsid w:val="004F077F"/>
    <w:rsid w:val="005023DD"/>
    <w:rsid w:val="00503D8C"/>
    <w:rsid w:val="00522B84"/>
    <w:rsid w:val="00531A7F"/>
    <w:rsid w:val="005428C5"/>
    <w:rsid w:val="00543C55"/>
    <w:rsid w:val="00547594"/>
    <w:rsid w:val="005554C7"/>
    <w:rsid w:val="0057288B"/>
    <w:rsid w:val="00582B99"/>
    <w:rsid w:val="00593A7B"/>
    <w:rsid w:val="005B0FC9"/>
    <w:rsid w:val="005B66D3"/>
    <w:rsid w:val="005C4556"/>
    <w:rsid w:val="005C5302"/>
    <w:rsid w:val="005D4E32"/>
    <w:rsid w:val="005E362E"/>
    <w:rsid w:val="0061109D"/>
    <w:rsid w:val="00612AA0"/>
    <w:rsid w:val="006138CB"/>
    <w:rsid w:val="006224C4"/>
    <w:rsid w:val="006225EA"/>
    <w:rsid w:val="006261DF"/>
    <w:rsid w:val="00642074"/>
    <w:rsid w:val="00644800"/>
    <w:rsid w:val="00695E58"/>
    <w:rsid w:val="006A1329"/>
    <w:rsid w:val="00700D68"/>
    <w:rsid w:val="007136D5"/>
    <w:rsid w:val="00720DFF"/>
    <w:rsid w:val="00746137"/>
    <w:rsid w:val="007504C5"/>
    <w:rsid w:val="00762CC5"/>
    <w:rsid w:val="007906B4"/>
    <w:rsid w:val="007B08F8"/>
    <w:rsid w:val="007E759D"/>
    <w:rsid w:val="00812471"/>
    <w:rsid w:val="008261A5"/>
    <w:rsid w:val="0083382E"/>
    <w:rsid w:val="0085273B"/>
    <w:rsid w:val="00855325"/>
    <w:rsid w:val="0085676B"/>
    <w:rsid w:val="00862E34"/>
    <w:rsid w:val="00865915"/>
    <w:rsid w:val="00871832"/>
    <w:rsid w:val="00882719"/>
    <w:rsid w:val="00886CCE"/>
    <w:rsid w:val="00894788"/>
    <w:rsid w:val="00896B33"/>
    <w:rsid w:val="008A35E5"/>
    <w:rsid w:val="008A62FB"/>
    <w:rsid w:val="008A77B7"/>
    <w:rsid w:val="008B0F67"/>
    <w:rsid w:val="008B4706"/>
    <w:rsid w:val="008C608D"/>
    <w:rsid w:val="008D0E1A"/>
    <w:rsid w:val="008E461D"/>
    <w:rsid w:val="008F08E5"/>
    <w:rsid w:val="008F5213"/>
    <w:rsid w:val="009176F5"/>
    <w:rsid w:val="00920C9C"/>
    <w:rsid w:val="00922754"/>
    <w:rsid w:val="00925781"/>
    <w:rsid w:val="009258D0"/>
    <w:rsid w:val="00935AB3"/>
    <w:rsid w:val="00963589"/>
    <w:rsid w:val="009734CE"/>
    <w:rsid w:val="00996E1A"/>
    <w:rsid w:val="009D24DA"/>
    <w:rsid w:val="009D5D75"/>
    <w:rsid w:val="009F32A2"/>
    <w:rsid w:val="009F54CE"/>
    <w:rsid w:val="00A06264"/>
    <w:rsid w:val="00A1639A"/>
    <w:rsid w:val="00A20C4E"/>
    <w:rsid w:val="00A215C9"/>
    <w:rsid w:val="00A5364B"/>
    <w:rsid w:val="00A615E0"/>
    <w:rsid w:val="00A65E2B"/>
    <w:rsid w:val="00A74AA0"/>
    <w:rsid w:val="00A77100"/>
    <w:rsid w:val="00A85328"/>
    <w:rsid w:val="00A87C9D"/>
    <w:rsid w:val="00AA0CA8"/>
    <w:rsid w:val="00AD17B7"/>
    <w:rsid w:val="00AD72CC"/>
    <w:rsid w:val="00AF30BC"/>
    <w:rsid w:val="00B077D5"/>
    <w:rsid w:val="00B200E4"/>
    <w:rsid w:val="00B2778D"/>
    <w:rsid w:val="00B34CDE"/>
    <w:rsid w:val="00B35B6D"/>
    <w:rsid w:val="00B35DC6"/>
    <w:rsid w:val="00B37201"/>
    <w:rsid w:val="00B51699"/>
    <w:rsid w:val="00B53FAF"/>
    <w:rsid w:val="00B63153"/>
    <w:rsid w:val="00B6527D"/>
    <w:rsid w:val="00B73B3A"/>
    <w:rsid w:val="00B74507"/>
    <w:rsid w:val="00B75718"/>
    <w:rsid w:val="00B75E7E"/>
    <w:rsid w:val="00B91804"/>
    <w:rsid w:val="00B93817"/>
    <w:rsid w:val="00BA0B96"/>
    <w:rsid w:val="00BB15DA"/>
    <w:rsid w:val="00BB1636"/>
    <w:rsid w:val="00BB340D"/>
    <w:rsid w:val="00BC2A3A"/>
    <w:rsid w:val="00BC64EC"/>
    <w:rsid w:val="00BD073D"/>
    <w:rsid w:val="00BF3AFD"/>
    <w:rsid w:val="00C1606C"/>
    <w:rsid w:val="00C16172"/>
    <w:rsid w:val="00C23180"/>
    <w:rsid w:val="00C40EC1"/>
    <w:rsid w:val="00C41492"/>
    <w:rsid w:val="00C41F3F"/>
    <w:rsid w:val="00C42832"/>
    <w:rsid w:val="00C702B5"/>
    <w:rsid w:val="00C70389"/>
    <w:rsid w:val="00C904B6"/>
    <w:rsid w:val="00C96DF4"/>
    <w:rsid w:val="00CB3E6F"/>
    <w:rsid w:val="00CC1337"/>
    <w:rsid w:val="00CC48DF"/>
    <w:rsid w:val="00CD70E7"/>
    <w:rsid w:val="00CD7363"/>
    <w:rsid w:val="00CE0C1F"/>
    <w:rsid w:val="00CE455F"/>
    <w:rsid w:val="00CF0BF9"/>
    <w:rsid w:val="00CF5957"/>
    <w:rsid w:val="00D04BA2"/>
    <w:rsid w:val="00D077B0"/>
    <w:rsid w:val="00D22D42"/>
    <w:rsid w:val="00D3630B"/>
    <w:rsid w:val="00D36D8D"/>
    <w:rsid w:val="00D45711"/>
    <w:rsid w:val="00D500FC"/>
    <w:rsid w:val="00D51597"/>
    <w:rsid w:val="00D5326E"/>
    <w:rsid w:val="00D55867"/>
    <w:rsid w:val="00D634A3"/>
    <w:rsid w:val="00D72339"/>
    <w:rsid w:val="00D73E47"/>
    <w:rsid w:val="00D74ABB"/>
    <w:rsid w:val="00D83CB7"/>
    <w:rsid w:val="00D97FA8"/>
    <w:rsid w:val="00DC7B25"/>
    <w:rsid w:val="00DD6B73"/>
    <w:rsid w:val="00E112C9"/>
    <w:rsid w:val="00E158F7"/>
    <w:rsid w:val="00E2087E"/>
    <w:rsid w:val="00E26BD4"/>
    <w:rsid w:val="00E36818"/>
    <w:rsid w:val="00E43C65"/>
    <w:rsid w:val="00E47B97"/>
    <w:rsid w:val="00E634CC"/>
    <w:rsid w:val="00E82F0E"/>
    <w:rsid w:val="00E96FAC"/>
    <w:rsid w:val="00EA129F"/>
    <w:rsid w:val="00EC3B62"/>
    <w:rsid w:val="00ED0582"/>
    <w:rsid w:val="00EE31F6"/>
    <w:rsid w:val="00EE36DC"/>
    <w:rsid w:val="00EF43DD"/>
    <w:rsid w:val="00F044EE"/>
    <w:rsid w:val="00F3320B"/>
    <w:rsid w:val="00F40E92"/>
    <w:rsid w:val="00F41947"/>
    <w:rsid w:val="00F435AA"/>
    <w:rsid w:val="00F500B4"/>
    <w:rsid w:val="00F52EF1"/>
    <w:rsid w:val="00F76C6A"/>
    <w:rsid w:val="00F7775B"/>
    <w:rsid w:val="00F83BF1"/>
    <w:rsid w:val="00F90CB9"/>
    <w:rsid w:val="00FB064F"/>
    <w:rsid w:val="00FB144F"/>
    <w:rsid w:val="00FB159A"/>
    <w:rsid w:val="00FB2494"/>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41FBA1"/>
  <w15:docId w15:val="{15363B4C-2623-4FA2-BC17-90DC32BD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065E38"/>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BB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5676B"/>
    <w:rPr>
      <w:sz w:val="16"/>
      <w:szCs w:val="16"/>
    </w:rPr>
  </w:style>
  <w:style w:type="paragraph" w:styleId="Kommentartext">
    <w:name w:val="annotation text"/>
    <w:basedOn w:val="Standard"/>
    <w:link w:val="KommentartextZchn"/>
    <w:uiPriority w:val="99"/>
    <w:semiHidden/>
    <w:unhideWhenUsed/>
    <w:rsid w:val="0085676B"/>
    <w:rPr>
      <w:sz w:val="20"/>
      <w:szCs w:val="20"/>
    </w:rPr>
  </w:style>
  <w:style w:type="character" w:customStyle="1" w:styleId="KommentartextZchn">
    <w:name w:val="Kommentartext Zchn"/>
    <w:basedOn w:val="Absatz-Standardschriftart"/>
    <w:link w:val="Kommentartext"/>
    <w:uiPriority w:val="99"/>
    <w:semiHidden/>
    <w:rsid w:val="0085676B"/>
    <w:rPr>
      <w:sz w:val="20"/>
      <w:szCs w:val="20"/>
      <w:lang w:eastAsia="en-US"/>
    </w:rPr>
  </w:style>
  <w:style w:type="paragraph" w:styleId="Kommentarthema">
    <w:name w:val="annotation subject"/>
    <w:basedOn w:val="Kommentartext"/>
    <w:next w:val="Kommentartext"/>
    <w:link w:val="KommentarthemaZchn"/>
    <w:uiPriority w:val="99"/>
    <w:semiHidden/>
    <w:unhideWhenUsed/>
    <w:rsid w:val="0085676B"/>
    <w:rPr>
      <w:b/>
      <w:bCs/>
    </w:rPr>
  </w:style>
  <w:style w:type="character" w:customStyle="1" w:styleId="KommentarthemaZchn">
    <w:name w:val="Kommentarthema Zchn"/>
    <w:basedOn w:val="KommentartextZchn"/>
    <w:link w:val="Kommentarthema"/>
    <w:uiPriority w:val="99"/>
    <w:semiHidden/>
    <w:rsid w:val="0085676B"/>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footer" Target="footer3.xml"/><Relationship Id="rId10" Type="http://schemas.openxmlformats.org/officeDocument/2006/relationships/hyperlink" Target="https://www.grossmann-berger.de/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rossmann-berger.de/media/g-b/uploads/marktbericht-wohnen-2022-2023-hamburg.pdf" TargetMode="External"/><Relationship Id="rId14" Type="http://schemas.openxmlformats.org/officeDocument/2006/relationships/hyperlink" Target="https://www.grossmann-berger.de/en/privacy"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DAF8-2B6B-4200-B5EA-BDCA0471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5221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2022-12-13T08:14:00Z</cp:lastPrinted>
  <dcterms:created xsi:type="dcterms:W3CDTF">2022-12-13T09:29:00Z</dcterms:created>
  <dcterms:modified xsi:type="dcterms:W3CDTF">2022-12-13T10:44:00Z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1331832045</vt:i4>
  </property>
</Properties>
</file>