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074DE" w14:textId="186C6DF7" w:rsidR="004526F6" w:rsidRPr="005D1DAB" w:rsidRDefault="001533C6" w:rsidP="004526F6">
      <w:pPr>
        <w:spacing w:after="0" w:line="360" w:lineRule="auto"/>
        <w:rPr>
          <w:rFonts w:ascii="Arial" w:hAnsi="Arial" w:cs="Arial"/>
          <w:b/>
          <w:sz w:val="28"/>
          <w:szCs w:val="28"/>
        </w:rPr>
      </w:pPr>
      <w:r>
        <w:rPr>
          <w:rFonts w:ascii="Arial" w:hAnsi="Arial"/>
          <w:b/>
        </w:rPr>
        <w:t>Hamburg: Office letting market 1st-4th quarters of 2022</w:t>
      </w:r>
      <w:r>
        <w:rPr>
          <w:rFonts w:ascii="Arial" w:hAnsi="Arial"/>
          <w:b/>
        </w:rPr>
        <w:br/>
        <w:t>Weak close to a strong year of office letting</w:t>
      </w:r>
    </w:p>
    <w:p w14:paraId="18597652" w14:textId="1F9B6939" w:rsidR="001533C6" w:rsidRPr="0090748B" w:rsidRDefault="001533C6" w:rsidP="004526F6">
      <w:pPr>
        <w:spacing w:after="0" w:line="360" w:lineRule="auto"/>
        <w:rPr>
          <w:rFonts w:ascii="Arial" w:hAnsi="Arial" w:cs="Arial"/>
          <w:b/>
          <w:sz w:val="20"/>
          <w:szCs w:val="20"/>
        </w:rPr>
      </w:pPr>
    </w:p>
    <w:p w14:paraId="4659E9B6" w14:textId="40EA6AF7" w:rsidR="005B4202" w:rsidRPr="000D5E8E" w:rsidRDefault="001533C6" w:rsidP="000D5E8E">
      <w:pPr>
        <w:spacing w:after="0" w:line="360" w:lineRule="auto"/>
        <w:rPr>
          <w:rFonts w:ascii="Arial" w:hAnsi="Arial" w:cs="Arial"/>
          <w:color w:val="FF0000"/>
          <w:sz w:val="20"/>
          <w:szCs w:val="20"/>
        </w:rPr>
      </w:pPr>
      <w:r>
        <w:rPr>
          <w:rFonts w:ascii="Arial" w:hAnsi="Arial"/>
          <w:b/>
          <w:sz w:val="20"/>
          <w:szCs w:val="20"/>
        </w:rPr>
        <w:t>Hamburg, 4 January 2023</w:t>
      </w:r>
      <w:r>
        <w:rPr>
          <w:rFonts w:ascii="Arial" w:hAnsi="Arial"/>
          <w:sz w:val="20"/>
          <w:szCs w:val="20"/>
        </w:rPr>
        <w:t xml:space="preserve"> – Between January and the end of September the letting business was very brisk, and several companies, such as </w:t>
      </w:r>
      <w:proofErr w:type="spellStart"/>
      <w:r>
        <w:rPr>
          <w:rFonts w:ascii="Arial" w:hAnsi="Arial"/>
          <w:sz w:val="20"/>
          <w:szCs w:val="20"/>
        </w:rPr>
        <w:t>Dataport</w:t>
      </w:r>
      <w:proofErr w:type="spellEnd"/>
      <w:r>
        <w:rPr>
          <w:rFonts w:ascii="Arial" w:hAnsi="Arial"/>
          <w:sz w:val="20"/>
          <w:szCs w:val="20"/>
        </w:rPr>
        <w:t xml:space="preserve">, </w:t>
      </w:r>
      <w:proofErr w:type="spellStart"/>
      <w:r>
        <w:rPr>
          <w:rFonts w:ascii="Arial" w:hAnsi="Arial"/>
          <w:sz w:val="20"/>
          <w:szCs w:val="20"/>
        </w:rPr>
        <w:t>Haspa</w:t>
      </w:r>
      <w:proofErr w:type="spellEnd"/>
      <w:r>
        <w:rPr>
          <w:rFonts w:ascii="Arial" w:hAnsi="Arial"/>
          <w:sz w:val="20"/>
          <w:szCs w:val="20"/>
        </w:rPr>
        <w:t xml:space="preserve"> Bank and VTG signed agreements for </w:t>
      </w:r>
      <w:r w:rsidR="00AF1EA5">
        <w:rPr>
          <w:rFonts w:ascii="Arial" w:hAnsi="Arial"/>
          <w:sz w:val="20"/>
          <w:szCs w:val="20"/>
        </w:rPr>
        <w:t>extensive</w:t>
      </w:r>
      <w:r>
        <w:rPr>
          <w:rFonts w:ascii="Arial" w:hAnsi="Arial"/>
          <w:sz w:val="20"/>
          <w:szCs w:val="20"/>
        </w:rPr>
        <w:t xml:space="preserve"> amounts of space. Because other firms were actively seeking large office suites, the estate agency sector was optimistic in autumn tha</w:t>
      </w:r>
      <w:r w:rsidR="00AF1EA5">
        <w:rPr>
          <w:rFonts w:ascii="Arial" w:hAnsi="Arial"/>
          <w:sz w:val="20"/>
          <w:szCs w:val="20"/>
        </w:rPr>
        <w:t xml:space="preserve">t 2022 would set a new record. </w:t>
      </w:r>
      <w:r>
        <w:rPr>
          <w:rFonts w:ascii="Arial" w:hAnsi="Arial"/>
          <w:sz w:val="20"/>
          <w:szCs w:val="20"/>
        </w:rPr>
        <w:t xml:space="preserve">However, </w:t>
      </w:r>
      <w:r w:rsidR="001143CF">
        <w:rPr>
          <w:rFonts w:ascii="Arial" w:hAnsi="Arial"/>
          <w:sz w:val="20"/>
          <w:szCs w:val="20"/>
        </w:rPr>
        <w:t>in posting take-up of 100</w:t>
      </w:r>
      <w:r w:rsidR="00AF1EA5">
        <w:rPr>
          <w:rFonts w:ascii="Arial" w:hAnsi="Arial"/>
          <w:sz w:val="20"/>
          <w:szCs w:val="20"/>
        </w:rPr>
        <w:t>,000 m²</w:t>
      </w:r>
      <w:r>
        <w:rPr>
          <w:rFonts w:ascii="Arial" w:hAnsi="Arial"/>
          <w:sz w:val="20"/>
          <w:szCs w:val="20"/>
        </w:rPr>
        <w:t xml:space="preserve"> the 4th quarter fell far below expectations. Nevertheless, the business of letting offices in Hamburg closed 2022 with a very good re</w:t>
      </w:r>
      <w:r w:rsidR="001143CF">
        <w:rPr>
          <w:rFonts w:ascii="Arial" w:hAnsi="Arial"/>
          <w:sz w:val="20"/>
          <w:szCs w:val="20"/>
        </w:rPr>
        <w:t>sult that was 15</w:t>
      </w:r>
      <w:r>
        <w:rPr>
          <w:rFonts w:ascii="Arial" w:hAnsi="Arial"/>
          <w:sz w:val="20"/>
          <w:szCs w:val="20"/>
        </w:rPr>
        <w:t xml:space="preserve"> % higher than in 2021. Latest figures </w:t>
      </w:r>
      <w:r w:rsidR="00E0111D">
        <w:rPr>
          <w:rFonts w:ascii="Arial" w:hAnsi="Arial"/>
          <w:sz w:val="20"/>
          <w:szCs w:val="20"/>
        </w:rPr>
        <w:t xml:space="preserve">from Grossmann &amp; Berger (G&amp;B), </w:t>
      </w:r>
      <w:r>
        <w:rPr>
          <w:rFonts w:ascii="Arial" w:hAnsi="Arial"/>
          <w:sz w:val="20"/>
          <w:szCs w:val="20"/>
        </w:rPr>
        <w:t>member of German Property Partners (GPP), show t</w:t>
      </w:r>
      <w:r w:rsidR="001143CF">
        <w:rPr>
          <w:rFonts w:ascii="Arial" w:hAnsi="Arial"/>
          <w:sz w:val="20"/>
          <w:szCs w:val="20"/>
        </w:rPr>
        <w:t>otal take-up for the year at 565,000 m². This was 8</w:t>
      </w:r>
      <w:r>
        <w:rPr>
          <w:rFonts w:ascii="Arial" w:hAnsi="Arial"/>
          <w:sz w:val="20"/>
          <w:szCs w:val="20"/>
        </w:rPr>
        <w:t xml:space="preserve"> % higher than the ten-year average (from 2013 to 2022) of 522,000 m². </w:t>
      </w:r>
      <w:r>
        <w:rPr>
          <w:rFonts w:ascii="Arial" w:hAnsi="Arial"/>
          <w:i/>
          <w:sz w:val="20"/>
          <w:szCs w:val="20"/>
        </w:rPr>
        <w:t>“Several firms requiring large amounts of space were unable to conclude an agreement in the fourth quarter and will continue negotiations in 2023. These uncompleted deals lead us to expect the year to start vigorously,”</w:t>
      </w:r>
      <w:r>
        <w:rPr>
          <w:rFonts w:ascii="Arial" w:hAnsi="Arial"/>
          <w:sz w:val="20"/>
          <w:szCs w:val="20"/>
        </w:rPr>
        <w:t xml:space="preserve"> forecasts the spokesperson for the G&amp;B management board, </w:t>
      </w:r>
      <w:r>
        <w:rPr>
          <w:rFonts w:ascii="Arial" w:hAnsi="Arial"/>
          <w:b/>
          <w:sz w:val="20"/>
          <w:szCs w:val="20"/>
        </w:rPr>
        <w:t xml:space="preserve">Andreas </w:t>
      </w:r>
      <w:proofErr w:type="spellStart"/>
      <w:r>
        <w:rPr>
          <w:rFonts w:ascii="Arial" w:hAnsi="Arial"/>
          <w:b/>
          <w:sz w:val="20"/>
          <w:szCs w:val="20"/>
        </w:rPr>
        <w:t>Rehberg</w:t>
      </w:r>
      <w:proofErr w:type="spellEnd"/>
      <w:r>
        <w:rPr>
          <w:rFonts w:ascii="Arial" w:hAnsi="Arial"/>
          <w:sz w:val="20"/>
          <w:szCs w:val="20"/>
        </w:rPr>
        <w:t>.</w:t>
      </w:r>
    </w:p>
    <w:p w14:paraId="0E0F7BA0" w14:textId="77777777" w:rsidR="00475BA6" w:rsidRPr="00475BA6" w:rsidRDefault="00475BA6" w:rsidP="000D5E8E">
      <w:pPr>
        <w:pStyle w:val="FliesstextNL"/>
        <w:spacing w:line="360" w:lineRule="auto"/>
        <w:jc w:val="left"/>
        <w:rPr>
          <w:rFonts w:ascii="Arial" w:hAnsi="Arial" w:cs="Arial"/>
          <w:b/>
          <w:color w:val="auto"/>
          <w:sz w:val="20"/>
          <w:szCs w:val="20"/>
        </w:rPr>
      </w:pPr>
    </w:p>
    <w:p w14:paraId="7491727E" w14:textId="4ACA1A25" w:rsidR="001533C6" w:rsidRDefault="001533C6" w:rsidP="001533C6">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259B4248" w14:textId="72134A3C" w:rsidR="00DA196C" w:rsidRDefault="00E02503" w:rsidP="003C2D45">
      <w:pPr>
        <w:pStyle w:val="Listenabsatz"/>
        <w:numPr>
          <w:ilvl w:val="0"/>
          <w:numId w:val="17"/>
        </w:numPr>
        <w:spacing w:after="0" w:line="360" w:lineRule="auto"/>
        <w:rPr>
          <w:rFonts w:ascii="Arial" w:hAnsi="Arial" w:cs="Arial"/>
          <w:sz w:val="20"/>
          <w:szCs w:val="20"/>
        </w:rPr>
      </w:pPr>
      <w:r>
        <w:rPr>
          <w:rFonts w:ascii="Arial" w:hAnsi="Arial"/>
          <w:sz w:val="20"/>
          <w:szCs w:val="20"/>
        </w:rPr>
        <w:t xml:space="preserve">In 2022 there were 19 </w:t>
      </w:r>
      <w:r>
        <w:rPr>
          <w:rFonts w:ascii="Arial" w:hAnsi="Arial"/>
          <w:sz w:val="20"/>
          <w:szCs w:val="20"/>
          <w:u w:val="single"/>
        </w:rPr>
        <w:t>large-volume agreements</w:t>
      </w:r>
      <w:r>
        <w:rPr>
          <w:rFonts w:ascii="Arial" w:hAnsi="Arial"/>
          <w:sz w:val="20"/>
          <w:szCs w:val="20"/>
        </w:rPr>
        <w:t xml:space="preserve"> for offices in Hamburg, compared with eleven in 2021. Their share of the total volume was around 36 %. The agreements signed by </w:t>
      </w:r>
      <w:proofErr w:type="spellStart"/>
      <w:r>
        <w:rPr>
          <w:rFonts w:ascii="Arial" w:hAnsi="Arial"/>
          <w:sz w:val="20"/>
          <w:szCs w:val="20"/>
        </w:rPr>
        <w:t>Dataport</w:t>
      </w:r>
      <w:proofErr w:type="spellEnd"/>
      <w:r>
        <w:rPr>
          <w:rFonts w:ascii="Arial" w:hAnsi="Arial"/>
          <w:sz w:val="20"/>
          <w:szCs w:val="20"/>
        </w:rPr>
        <w:t xml:space="preserve"> and </w:t>
      </w:r>
      <w:proofErr w:type="spellStart"/>
      <w:r>
        <w:rPr>
          <w:rFonts w:ascii="Arial" w:hAnsi="Arial"/>
          <w:sz w:val="20"/>
          <w:szCs w:val="20"/>
        </w:rPr>
        <w:t>Haspa</w:t>
      </w:r>
      <w:proofErr w:type="spellEnd"/>
      <w:r>
        <w:rPr>
          <w:rFonts w:ascii="Arial" w:hAnsi="Arial"/>
          <w:sz w:val="20"/>
          <w:szCs w:val="20"/>
        </w:rPr>
        <w:t xml:space="preserve"> for large amounts of space were the two biggest of the year and the second and third-largest ever seen in Hamburg.</w:t>
      </w:r>
    </w:p>
    <w:p w14:paraId="0991B84F" w14:textId="02BF66BB" w:rsidR="00A5264B" w:rsidRPr="00945CB6" w:rsidRDefault="00945CB6" w:rsidP="003C2D45">
      <w:pPr>
        <w:pStyle w:val="Listenabsatz"/>
        <w:numPr>
          <w:ilvl w:val="0"/>
          <w:numId w:val="17"/>
        </w:numPr>
        <w:spacing w:after="0" w:line="360" w:lineRule="auto"/>
        <w:rPr>
          <w:rFonts w:ascii="Arial" w:hAnsi="Arial" w:cs="Arial"/>
          <w:sz w:val="20"/>
          <w:szCs w:val="20"/>
        </w:rPr>
      </w:pPr>
      <w:r>
        <w:rPr>
          <w:rFonts w:ascii="Arial" w:hAnsi="Arial"/>
          <w:sz w:val="20"/>
          <w:szCs w:val="20"/>
        </w:rPr>
        <w:t xml:space="preserve">Typically for Hamburg, the take-up of space was fairly evenly divided across all </w:t>
      </w:r>
      <w:r>
        <w:rPr>
          <w:rFonts w:ascii="Arial" w:hAnsi="Arial"/>
          <w:sz w:val="20"/>
          <w:szCs w:val="20"/>
          <w:u w:val="single"/>
        </w:rPr>
        <w:t>sectors of industry</w:t>
      </w:r>
      <w:r>
        <w:rPr>
          <w:rFonts w:ascii="Arial" w:hAnsi="Arial"/>
          <w:sz w:val="20"/>
          <w:szCs w:val="20"/>
        </w:rPr>
        <w:t xml:space="preserve">. Primarily due to the </w:t>
      </w:r>
      <w:proofErr w:type="spellStart"/>
      <w:r>
        <w:rPr>
          <w:rFonts w:ascii="Arial" w:hAnsi="Arial"/>
          <w:sz w:val="20"/>
          <w:szCs w:val="20"/>
        </w:rPr>
        <w:t>Dataport</w:t>
      </w:r>
      <w:proofErr w:type="spellEnd"/>
      <w:r>
        <w:rPr>
          <w:rFonts w:ascii="Arial" w:hAnsi="Arial"/>
          <w:sz w:val="20"/>
          <w:szCs w:val="20"/>
        </w:rPr>
        <w:t xml:space="preserve"> agreement, the IT sector was strongly represented, with 18 % of total take-up.</w:t>
      </w:r>
    </w:p>
    <w:p w14:paraId="4FF5286D" w14:textId="2ED0CA4A" w:rsidR="00A04A9E" w:rsidRDefault="00931052" w:rsidP="00213F07">
      <w:pPr>
        <w:pStyle w:val="Listenabsatz"/>
        <w:numPr>
          <w:ilvl w:val="0"/>
          <w:numId w:val="17"/>
        </w:numPr>
        <w:spacing w:after="0" w:line="360" w:lineRule="auto"/>
        <w:rPr>
          <w:rFonts w:ascii="Arial" w:hAnsi="Arial" w:cs="Arial"/>
          <w:sz w:val="20"/>
          <w:szCs w:val="20"/>
        </w:rPr>
      </w:pPr>
      <w:r>
        <w:rPr>
          <w:rFonts w:ascii="Arial" w:hAnsi="Arial"/>
          <w:i/>
          <w:sz w:val="20"/>
          <w:szCs w:val="20"/>
        </w:rPr>
        <w:t>“Many companies took care in 2022 to secure top premises in excellent locations,”</w:t>
      </w:r>
      <w:r>
        <w:rPr>
          <w:rFonts w:ascii="Arial" w:hAnsi="Arial"/>
          <w:sz w:val="20"/>
          <w:szCs w:val="20"/>
        </w:rPr>
        <w:t xml:space="preserve"> remarks </w:t>
      </w:r>
      <w:proofErr w:type="spellStart"/>
      <w:r>
        <w:rPr>
          <w:rFonts w:ascii="Arial" w:hAnsi="Arial"/>
          <w:b/>
          <w:sz w:val="20"/>
          <w:szCs w:val="20"/>
        </w:rPr>
        <w:t>Rehberg</w:t>
      </w:r>
      <w:proofErr w:type="spellEnd"/>
      <w:r>
        <w:rPr>
          <w:rFonts w:ascii="Arial" w:hAnsi="Arial"/>
          <w:b/>
          <w:sz w:val="20"/>
          <w:szCs w:val="20"/>
        </w:rPr>
        <w:t>.</w:t>
      </w:r>
      <w:r>
        <w:rPr>
          <w:rFonts w:ascii="Arial" w:hAnsi="Arial"/>
          <w:sz w:val="20"/>
          <w:szCs w:val="20"/>
        </w:rPr>
        <w:t xml:space="preserve"> </w:t>
      </w:r>
      <w:r>
        <w:rPr>
          <w:rFonts w:ascii="Arial" w:hAnsi="Arial"/>
          <w:i/>
          <w:sz w:val="20"/>
          <w:szCs w:val="20"/>
        </w:rPr>
        <w:t>“They are thus able to offer their employees an attractive working environment and improve their chance of winning the battle for skilled personnel.”</w:t>
      </w:r>
      <w:r>
        <w:rPr>
          <w:rFonts w:ascii="Arial" w:hAnsi="Arial"/>
          <w:sz w:val="20"/>
          <w:szCs w:val="20"/>
        </w:rPr>
        <w:t xml:space="preserve"> Therefore 23 agreements fell into the </w:t>
      </w:r>
      <w:r>
        <w:rPr>
          <w:rFonts w:ascii="Arial" w:hAnsi="Arial"/>
          <w:sz w:val="20"/>
          <w:szCs w:val="20"/>
          <w:u w:val="single"/>
        </w:rPr>
        <w:t>rental price segment</w:t>
      </w:r>
      <w:r>
        <w:rPr>
          <w:rFonts w:ascii="Arial" w:hAnsi="Arial"/>
          <w:sz w:val="20"/>
          <w:szCs w:val="20"/>
        </w:rPr>
        <w:t xml:space="preserve"> of €30/m²/month, significantly more than in 2021 when the total was six. </w:t>
      </w:r>
    </w:p>
    <w:p w14:paraId="4AF46028" w14:textId="42406B5E" w:rsidR="004526F6" w:rsidRPr="00A04A9E" w:rsidRDefault="00A875B2" w:rsidP="00213F07">
      <w:pPr>
        <w:pStyle w:val="Listenabsatz"/>
        <w:numPr>
          <w:ilvl w:val="0"/>
          <w:numId w:val="17"/>
        </w:numPr>
        <w:spacing w:after="0" w:line="360" w:lineRule="auto"/>
        <w:rPr>
          <w:rFonts w:ascii="Arial" w:hAnsi="Arial" w:cs="Arial"/>
          <w:sz w:val="20"/>
          <w:szCs w:val="20"/>
        </w:rPr>
      </w:pPr>
      <w:r>
        <w:rPr>
          <w:rFonts w:ascii="Arial" w:hAnsi="Arial"/>
          <w:sz w:val="20"/>
          <w:szCs w:val="20"/>
        </w:rPr>
        <w:t xml:space="preserve">By the end of the year both the </w:t>
      </w:r>
      <w:r>
        <w:rPr>
          <w:rFonts w:ascii="Arial" w:hAnsi="Arial"/>
          <w:sz w:val="20"/>
          <w:szCs w:val="20"/>
          <w:u w:val="single"/>
        </w:rPr>
        <w:t>average rent</w:t>
      </w:r>
      <w:r>
        <w:rPr>
          <w:rFonts w:ascii="Arial" w:hAnsi="Arial"/>
          <w:sz w:val="20"/>
          <w:szCs w:val="20"/>
        </w:rPr>
        <w:t xml:space="preserve">, weighted by area, and the </w:t>
      </w:r>
      <w:r>
        <w:rPr>
          <w:rFonts w:ascii="Arial" w:hAnsi="Arial"/>
          <w:sz w:val="20"/>
          <w:szCs w:val="20"/>
          <w:u w:val="single"/>
        </w:rPr>
        <w:t>premium rent</w:t>
      </w:r>
      <w:r>
        <w:rPr>
          <w:rFonts w:ascii="Arial" w:hAnsi="Arial"/>
          <w:sz w:val="20"/>
          <w:szCs w:val="20"/>
        </w:rPr>
        <w:t xml:space="preserve"> remained settled at a high level  The average rent might fall slightly in 2023 when more mid-sized companies start to look for premises. In general they are rather more price-conscious.</w:t>
      </w:r>
    </w:p>
    <w:p w14:paraId="248046A1" w14:textId="4925C1FF" w:rsidR="004526F6" w:rsidRPr="00192B9D" w:rsidRDefault="00B02DA5" w:rsidP="00D770FB">
      <w:pPr>
        <w:pStyle w:val="Listenabsatz"/>
        <w:numPr>
          <w:ilvl w:val="0"/>
          <w:numId w:val="17"/>
        </w:numPr>
        <w:spacing w:after="0" w:line="360" w:lineRule="auto"/>
        <w:rPr>
          <w:rFonts w:ascii="Arial" w:hAnsi="Arial" w:cs="Arial"/>
          <w:sz w:val="20"/>
          <w:szCs w:val="20"/>
        </w:rPr>
      </w:pPr>
      <w:r>
        <w:rPr>
          <w:rFonts w:ascii="Arial" w:hAnsi="Arial"/>
          <w:sz w:val="20"/>
          <w:szCs w:val="20"/>
        </w:rPr>
        <w:t xml:space="preserve">Letting was concentrated in the City and HafenCity </w:t>
      </w:r>
      <w:r>
        <w:rPr>
          <w:rFonts w:ascii="Arial" w:hAnsi="Arial"/>
          <w:sz w:val="20"/>
          <w:szCs w:val="20"/>
          <w:u w:val="single"/>
        </w:rPr>
        <w:t>sub-markets.</w:t>
      </w:r>
      <w:r>
        <w:rPr>
          <w:rFonts w:ascii="Arial" w:hAnsi="Arial"/>
          <w:sz w:val="20"/>
          <w:szCs w:val="20"/>
        </w:rPr>
        <w:t xml:space="preserve"> Year on year these two top locations increased their share of the market from 34 % to 43 %. City South’s share of take-up rose to 15 % as this less expensive location also offered many properties of new-build standard (2021: 11 %).</w:t>
      </w:r>
    </w:p>
    <w:p w14:paraId="09C17EEF" w14:textId="49AC6A93" w:rsidR="004526F6" w:rsidRPr="00FF283F" w:rsidRDefault="0002724A" w:rsidP="00657E35">
      <w:pPr>
        <w:pStyle w:val="Listenabsatz"/>
        <w:numPr>
          <w:ilvl w:val="0"/>
          <w:numId w:val="17"/>
        </w:numPr>
        <w:spacing w:after="0" w:line="360" w:lineRule="auto"/>
        <w:rPr>
          <w:rFonts w:ascii="Arial" w:hAnsi="Arial" w:cs="Arial"/>
          <w:sz w:val="20"/>
          <w:szCs w:val="20"/>
        </w:rPr>
      </w:pPr>
      <w:r>
        <w:rPr>
          <w:rFonts w:ascii="Arial" w:hAnsi="Arial"/>
          <w:sz w:val="20"/>
          <w:szCs w:val="20"/>
        </w:rPr>
        <w:t xml:space="preserve">The short-term supply of </w:t>
      </w:r>
      <w:r>
        <w:rPr>
          <w:rFonts w:ascii="Arial" w:hAnsi="Arial"/>
          <w:sz w:val="20"/>
          <w:szCs w:val="20"/>
          <w:u w:val="single"/>
        </w:rPr>
        <w:t>available space</w:t>
      </w:r>
      <w:r>
        <w:rPr>
          <w:rFonts w:ascii="Arial" w:hAnsi="Arial"/>
          <w:sz w:val="20"/>
          <w:szCs w:val="20"/>
        </w:rPr>
        <w:t xml:space="preserve"> grew by 4.4 % year on year and is set to increase further during the year. The volume of </w:t>
      </w:r>
      <w:r>
        <w:rPr>
          <w:rFonts w:ascii="Arial" w:hAnsi="Arial"/>
          <w:sz w:val="20"/>
          <w:szCs w:val="20"/>
          <w:u w:val="single"/>
        </w:rPr>
        <w:t>new-build completions</w:t>
      </w:r>
      <w:r>
        <w:rPr>
          <w:rFonts w:ascii="Arial" w:hAnsi="Arial"/>
          <w:sz w:val="20"/>
          <w:szCs w:val="20"/>
        </w:rPr>
        <w:t xml:space="preserve"> is likely to peak in 2023. </w:t>
      </w:r>
      <w:r>
        <w:rPr>
          <w:rFonts w:ascii="Arial" w:hAnsi="Arial"/>
          <w:i/>
          <w:sz w:val="20"/>
          <w:szCs w:val="20"/>
        </w:rPr>
        <w:t xml:space="preserve">“In the medium term construction activity will lessen. Developers will erect fewer buildings on speculation in view of the difficult business environment caused by shortages of materials and the high costs of construction and borrowing. A relatively high </w:t>
      </w:r>
      <w:r>
        <w:rPr>
          <w:rFonts w:ascii="Arial" w:hAnsi="Arial"/>
          <w:i/>
          <w:sz w:val="20"/>
          <w:szCs w:val="20"/>
          <w:u w:val="single"/>
        </w:rPr>
        <w:t>pre-let ratio</w:t>
      </w:r>
      <w:r>
        <w:rPr>
          <w:rFonts w:ascii="Arial" w:hAnsi="Arial"/>
          <w:i/>
          <w:sz w:val="20"/>
          <w:szCs w:val="20"/>
        </w:rPr>
        <w:t xml:space="preserve"> will then become the general rule,”</w:t>
      </w:r>
      <w:r>
        <w:rPr>
          <w:rFonts w:ascii="Arial" w:hAnsi="Arial"/>
          <w:sz w:val="20"/>
          <w:szCs w:val="20"/>
        </w:rPr>
        <w:t xml:space="preserve"> predicts </w:t>
      </w:r>
      <w:proofErr w:type="spellStart"/>
      <w:r>
        <w:rPr>
          <w:rFonts w:ascii="Arial" w:hAnsi="Arial"/>
          <w:b/>
          <w:sz w:val="20"/>
          <w:szCs w:val="20"/>
        </w:rPr>
        <w:t>Rehberg</w:t>
      </w:r>
      <w:proofErr w:type="spellEnd"/>
      <w:r>
        <w:rPr>
          <w:rFonts w:ascii="Arial" w:hAnsi="Arial"/>
          <w:sz w:val="20"/>
          <w:szCs w:val="20"/>
        </w:rPr>
        <w:t>.</w:t>
      </w:r>
    </w:p>
    <w:p w14:paraId="4C2649DF" w14:textId="506C46BD" w:rsidR="00052659" w:rsidRPr="001429D0" w:rsidRDefault="001143CF" w:rsidP="001429D0">
      <w:pPr>
        <w:pStyle w:val="FliesstextNL"/>
        <w:spacing w:line="360" w:lineRule="auto"/>
        <w:jc w:val="left"/>
        <w:rPr>
          <w:rFonts w:ascii="Arial" w:hAnsi="Arial" w:cs="Arial"/>
          <w:color w:val="FF0000"/>
          <w:sz w:val="20"/>
          <w:szCs w:val="20"/>
        </w:rPr>
      </w:pPr>
      <w:r>
        <w:rPr>
          <w:rFonts w:ascii="Arial" w:hAnsi="Arial" w:cs="Arial"/>
          <w:b/>
          <w:noProof/>
          <w:sz w:val="20"/>
          <w:szCs w:val="20"/>
          <w:lang w:val="de-DE"/>
        </w:rPr>
        <w:lastRenderedPageBreak/>
        <w:drawing>
          <wp:anchor distT="0" distB="0" distL="114300" distR="114300" simplePos="0" relativeHeight="251658240" behindDoc="0" locked="0" layoutInCell="1" allowOverlap="1" wp14:anchorId="09D7858B" wp14:editId="79AB65BA">
            <wp:simplePos x="0" y="0"/>
            <wp:positionH relativeFrom="column">
              <wp:posOffset>3211830</wp:posOffset>
            </wp:positionH>
            <wp:positionV relativeFrom="paragraph">
              <wp:posOffset>252730</wp:posOffset>
            </wp:positionV>
            <wp:extent cx="2834640" cy="2488565"/>
            <wp:effectExtent l="19050" t="19050" r="22860" b="260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M Büro Grafik NEU_EN.JPG"/>
                    <pic:cNvPicPr/>
                  </pic:nvPicPr>
                  <pic:blipFill>
                    <a:blip r:embed="rId8">
                      <a:extLst>
                        <a:ext uri="{28A0092B-C50C-407E-A947-70E740481C1C}">
                          <a14:useLocalDpi xmlns:a14="http://schemas.microsoft.com/office/drawing/2010/main" val="0"/>
                        </a:ext>
                      </a:extLst>
                    </a:blip>
                    <a:stretch>
                      <a:fillRect/>
                    </a:stretch>
                  </pic:blipFill>
                  <pic:spPr>
                    <a:xfrm>
                      <a:off x="0" y="0"/>
                      <a:ext cx="2834640" cy="248856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tbl>
      <w:tblPr>
        <w:tblStyle w:val="Tabellenraster"/>
        <w:tblpPr w:leftFromText="141" w:rightFromText="141" w:vertAnchor="text" w:horzAnchor="margin" w:tblpY="48"/>
        <w:tblW w:w="2575" w:type="pct"/>
        <w:tblLayout w:type="fixed"/>
        <w:tblLook w:val="04A0" w:firstRow="1" w:lastRow="0" w:firstColumn="1" w:lastColumn="0" w:noHBand="0" w:noVBand="1"/>
      </w:tblPr>
      <w:tblGrid>
        <w:gridCol w:w="3823"/>
        <w:gridCol w:w="1134"/>
      </w:tblGrid>
      <w:tr w:rsidR="001533C6" w:rsidRPr="005650DF" w14:paraId="4FF9FD53" w14:textId="77777777" w:rsidTr="001533C6">
        <w:trPr>
          <w:trHeight w:val="416"/>
        </w:trPr>
        <w:tc>
          <w:tcPr>
            <w:tcW w:w="3856" w:type="pct"/>
            <w:shd w:val="clear" w:color="auto" w:fill="000000" w:themeFill="text1"/>
            <w:vAlign w:val="center"/>
          </w:tcPr>
          <w:p w14:paraId="73ECD5FC" w14:textId="0BEC1395" w:rsidR="001533C6" w:rsidRPr="001533C6" w:rsidRDefault="001533C6" w:rsidP="00DF03C8">
            <w:pPr>
              <w:widowControl w:val="0"/>
              <w:spacing w:after="0"/>
              <w:rPr>
                <w:rFonts w:ascii="Arial" w:hAnsi="Arial" w:cs="Arial"/>
                <w:b/>
                <w:color w:val="FFFFFF" w:themeColor="background1"/>
                <w:sz w:val="18"/>
                <w:szCs w:val="16"/>
              </w:rPr>
            </w:pPr>
            <w:r>
              <w:rPr>
                <w:rFonts w:ascii="Arial" w:hAnsi="Arial"/>
                <w:b/>
                <w:color w:val="FFFFFF" w:themeColor="background1"/>
                <w:sz w:val="18"/>
                <w:szCs w:val="20"/>
              </w:rPr>
              <w:t>Office letting market | Hamburg | 2022</w:t>
            </w:r>
          </w:p>
        </w:tc>
        <w:tc>
          <w:tcPr>
            <w:tcW w:w="1144" w:type="pct"/>
            <w:shd w:val="clear" w:color="auto" w:fill="000000" w:themeFill="text1"/>
            <w:vAlign w:val="center"/>
          </w:tcPr>
          <w:p w14:paraId="5FDA2CEA" w14:textId="4AB3094A" w:rsidR="001533C6" w:rsidRPr="001533C6" w:rsidRDefault="00E0111D" w:rsidP="00DF03C8">
            <w:pPr>
              <w:widowControl w:val="0"/>
              <w:spacing w:after="0"/>
              <w:jc w:val="center"/>
              <w:rPr>
                <w:rFonts w:ascii="Arial" w:hAnsi="Arial" w:cs="Arial"/>
                <w:b/>
                <w:color w:val="FFFFFF" w:themeColor="background1"/>
                <w:sz w:val="18"/>
                <w:szCs w:val="16"/>
              </w:rPr>
            </w:pPr>
            <w:r>
              <w:rPr>
                <w:rFonts w:ascii="Arial" w:hAnsi="Arial"/>
                <w:b/>
                <w:color w:val="FFFFFF" w:themeColor="background1"/>
                <w:sz w:val="18"/>
                <w:szCs w:val="16"/>
              </w:rPr>
              <w:t>Q1</w:t>
            </w:r>
            <w:r w:rsidR="001533C6">
              <w:rPr>
                <w:rFonts w:ascii="Arial" w:hAnsi="Arial"/>
                <w:b/>
                <w:color w:val="FFFFFF" w:themeColor="background1"/>
                <w:sz w:val="18"/>
                <w:szCs w:val="16"/>
              </w:rPr>
              <w:t>-4</w:t>
            </w:r>
          </w:p>
        </w:tc>
      </w:tr>
      <w:tr w:rsidR="00D55FCD" w:rsidRPr="00F952F7" w14:paraId="70B142AA" w14:textId="77777777" w:rsidTr="00DF03C8">
        <w:trPr>
          <w:trHeight w:val="283"/>
        </w:trPr>
        <w:tc>
          <w:tcPr>
            <w:tcW w:w="3856" w:type="pct"/>
            <w:vAlign w:val="center"/>
          </w:tcPr>
          <w:p w14:paraId="44783DB5" w14:textId="77777777" w:rsidR="00D55FCD" w:rsidRPr="000E7BC7" w:rsidRDefault="00D55FCD" w:rsidP="00D55FCD">
            <w:pPr>
              <w:widowControl w:val="0"/>
              <w:spacing w:before="60" w:after="60"/>
              <w:rPr>
                <w:rFonts w:ascii="Arial" w:hAnsi="Arial" w:cs="Arial"/>
                <w:b/>
                <w:sz w:val="18"/>
                <w:szCs w:val="16"/>
              </w:rPr>
            </w:pPr>
            <w:r>
              <w:rPr>
                <w:rFonts w:ascii="Arial" w:hAnsi="Arial"/>
                <w:b/>
                <w:sz w:val="18"/>
                <w:szCs w:val="16"/>
              </w:rPr>
              <w:t xml:space="preserve">Space take-up </w:t>
            </w:r>
            <w:r>
              <w:rPr>
                <w:rFonts w:ascii="Arial" w:hAnsi="Arial"/>
                <w:sz w:val="18"/>
                <w:szCs w:val="16"/>
              </w:rPr>
              <w:t>[m²]</w:t>
            </w:r>
          </w:p>
        </w:tc>
        <w:tc>
          <w:tcPr>
            <w:tcW w:w="1144" w:type="pct"/>
            <w:vAlign w:val="center"/>
          </w:tcPr>
          <w:p w14:paraId="53E41973" w14:textId="03953347" w:rsidR="00D55FCD" w:rsidRPr="000E7BC7" w:rsidRDefault="001143CF" w:rsidP="001143CF">
            <w:pPr>
              <w:spacing w:after="0"/>
              <w:jc w:val="right"/>
              <w:rPr>
                <w:rFonts w:ascii="Arial" w:hAnsi="Arial" w:cs="Arial"/>
                <w:sz w:val="18"/>
                <w:szCs w:val="16"/>
              </w:rPr>
            </w:pPr>
            <w:r>
              <w:rPr>
                <w:rFonts w:ascii="Arial" w:hAnsi="Arial"/>
                <w:sz w:val="18"/>
                <w:szCs w:val="16"/>
              </w:rPr>
              <w:t>565,</w:t>
            </w:r>
            <w:r w:rsidR="00D55FCD">
              <w:rPr>
                <w:rFonts w:ascii="Arial" w:hAnsi="Arial"/>
                <w:sz w:val="18"/>
                <w:szCs w:val="16"/>
              </w:rPr>
              <w:t>000</w:t>
            </w:r>
          </w:p>
        </w:tc>
      </w:tr>
      <w:tr w:rsidR="00D55FCD" w:rsidRPr="00F952F7" w14:paraId="1DDBF1A6" w14:textId="77777777" w:rsidTr="00DF03C8">
        <w:trPr>
          <w:trHeight w:val="283"/>
        </w:trPr>
        <w:tc>
          <w:tcPr>
            <w:tcW w:w="3856" w:type="pct"/>
            <w:vAlign w:val="center"/>
          </w:tcPr>
          <w:p w14:paraId="5B57778E" w14:textId="77777777" w:rsidR="00D55FCD" w:rsidRPr="000E7BC7" w:rsidRDefault="00D55FCD" w:rsidP="00D55FCD">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45926FE8" w14:textId="2C6D33E8" w:rsidR="00D55FCD" w:rsidRPr="000E7BC7" w:rsidRDefault="001143CF" w:rsidP="00D55FCD">
            <w:pPr>
              <w:spacing w:after="0"/>
              <w:jc w:val="right"/>
              <w:rPr>
                <w:rFonts w:ascii="Arial" w:hAnsi="Arial" w:cs="Arial"/>
                <w:sz w:val="18"/>
                <w:szCs w:val="16"/>
              </w:rPr>
            </w:pPr>
            <w:r>
              <w:rPr>
                <w:rFonts w:ascii="Arial" w:hAnsi="Arial"/>
                <w:sz w:val="18"/>
                <w:szCs w:val="16"/>
              </w:rPr>
              <w:t>+15</w:t>
            </w:r>
            <w:r w:rsidR="00D55FCD">
              <w:rPr>
                <w:rFonts w:ascii="Arial" w:hAnsi="Arial"/>
                <w:sz w:val="18"/>
                <w:szCs w:val="16"/>
              </w:rPr>
              <w:t>.3</w:t>
            </w:r>
          </w:p>
        </w:tc>
      </w:tr>
      <w:tr w:rsidR="00D55FCD" w:rsidRPr="00F952F7" w14:paraId="077C5AA1" w14:textId="77777777" w:rsidTr="00DF03C8">
        <w:trPr>
          <w:trHeight w:val="283"/>
        </w:trPr>
        <w:tc>
          <w:tcPr>
            <w:tcW w:w="3856" w:type="pct"/>
            <w:vAlign w:val="center"/>
          </w:tcPr>
          <w:p w14:paraId="19D22308" w14:textId="77777777" w:rsidR="00D55FCD" w:rsidRPr="000E7BC7" w:rsidRDefault="00D55FCD" w:rsidP="00D55FCD">
            <w:pPr>
              <w:widowControl w:val="0"/>
              <w:spacing w:before="60" w:after="60"/>
              <w:rPr>
                <w:rFonts w:ascii="Arial" w:hAnsi="Arial" w:cs="Arial"/>
                <w:b/>
                <w:sz w:val="18"/>
                <w:szCs w:val="16"/>
              </w:rPr>
            </w:pPr>
            <w:r>
              <w:rPr>
                <w:rFonts w:ascii="Arial" w:hAnsi="Arial"/>
                <w:b/>
                <w:sz w:val="18"/>
                <w:szCs w:val="16"/>
              </w:rPr>
              <w:t xml:space="preserve">Premium rent </w:t>
            </w:r>
            <w:r>
              <w:rPr>
                <w:rFonts w:ascii="Arial" w:hAnsi="Arial"/>
                <w:sz w:val="18"/>
                <w:szCs w:val="16"/>
              </w:rPr>
              <w:t>[€/m²/month net of services]</w:t>
            </w:r>
          </w:p>
        </w:tc>
        <w:tc>
          <w:tcPr>
            <w:tcW w:w="1144" w:type="pct"/>
            <w:vAlign w:val="center"/>
          </w:tcPr>
          <w:p w14:paraId="2D96A673" w14:textId="640749BD" w:rsidR="00D55FCD" w:rsidRPr="000E7BC7" w:rsidRDefault="00D55FCD" w:rsidP="00D55FCD">
            <w:pPr>
              <w:spacing w:after="0"/>
              <w:jc w:val="right"/>
              <w:rPr>
                <w:rFonts w:ascii="Arial" w:hAnsi="Arial" w:cs="Arial"/>
                <w:color w:val="000000" w:themeColor="text1"/>
                <w:sz w:val="18"/>
                <w:szCs w:val="16"/>
              </w:rPr>
            </w:pPr>
            <w:r>
              <w:rPr>
                <w:rFonts w:ascii="Arial" w:hAnsi="Arial"/>
                <w:sz w:val="18"/>
                <w:szCs w:val="16"/>
              </w:rPr>
              <w:t>33.50</w:t>
            </w:r>
          </w:p>
        </w:tc>
      </w:tr>
      <w:tr w:rsidR="00D55FCD" w:rsidRPr="00F952F7" w14:paraId="20E3055B" w14:textId="77777777" w:rsidTr="00DF03C8">
        <w:trPr>
          <w:trHeight w:val="283"/>
        </w:trPr>
        <w:tc>
          <w:tcPr>
            <w:tcW w:w="3856" w:type="pct"/>
            <w:vAlign w:val="center"/>
          </w:tcPr>
          <w:p w14:paraId="48AD8597" w14:textId="77777777" w:rsidR="00D55FCD" w:rsidRPr="000E7BC7" w:rsidRDefault="00D55FCD" w:rsidP="00D55FCD">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43EAC70D" w14:textId="796AD3F3" w:rsidR="00D55FCD" w:rsidRPr="000E7BC7" w:rsidRDefault="00D55FCD" w:rsidP="00D55FCD">
            <w:pPr>
              <w:spacing w:after="0"/>
              <w:jc w:val="right"/>
              <w:rPr>
                <w:rFonts w:ascii="Arial" w:hAnsi="Arial" w:cs="Arial"/>
                <w:color w:val="000000" w:themeColor="text1"/>
                <w:sz w:val="18"/>
                <w:szCs w:val="16"/>
              </w:rPr>
            </w:pPr>
            <w:r>
              <w:rPr>
                <w:rFonts w:ascii="Arial" w:hAnsi="Arial"/>
                <w:color w:val="000000" w:themeColor="text1"/>
                <w:sz w:val="18"/>
                <w:szCs w:val="16"/>
              </w:rPr>
              <w:t>+6.3</w:t>
            </w:r>
          </w:p>
        </w:tc>
      </w:tr>
      <w:tr w:rsidR="00D55FCD" w:rsidRPr="00F952F7" w14:paraId="6F451023" w14:textId="77777777" w:rsidTr="00DF03C8">
        <w:trPr>
          <w:trHeight w:val="283"/>
        </w:trPr>
        <w:tc>
          <w:tcPr>
            <w:tcW w:w="3856" w:type="pct"/>
            <w:vAlign w:val="center"/>
          </w:tcPr>
          <w:p w14:paraId="40514069" w14:textId="77777777" w:rsidR="00D55FCD" w:rsidRPr="000E7BC7" w:rsidRDefault="00D55FCD" w:rsidP="00D55FCD">
            <w:pPr>
              <w:widowControl w:val="0"/>
              <w:spacing w:before="60" w:after="60"/>
              <w:rPr>
                <w:rFonts w:ascii="Arial" w:hAnsi="Arial" w:cs="Arial"/>
                <w:b/>
                <w:sz w:val="18"/>
                <w:szCs w:val="16"/>
              </w:rPr>
            </w:pPr>
            <w:r>
              <w:rPr>
                <w:rFonts w:ascii="Arial" w:hAnsi="Arial"/>
                <w:b/>
                <w:sz w:val="18"/>
                <w:szCs w:val="16"/>
              </w:rPr>
              <w:t xml:space="preserve">Average rent </w:t>
            </w:r>
            <w:r>
              <w:rPr>
                <w:rFonts w:ascii="Arial" w:hAnsi="Arial"/>
                <w:sz w:val="18"/>
                <w:szCs w:val="16"/>
              </w:rPr>
              <w:t>[€/m²/month net of services]</w:t>
            </w:r>
          </w:p>
        </w:tc>
        <w:tc>
          <w:tcPr>
            <w:tcW w:w="1144" w:type="pct"/>
            <w:vAlign w:val="center"/>
          </w:tcPr>
          <w:p w14:paraId="0820D982" w14:textId="71B1CAA3" w:rsidR="00D55FCD" w:rsidRPr="000E7BC7" w:rsidRDefault="00D55FCD" w:rsidP="00D55FCD">
            <w:pPr>
              <w:spacing w:after="0"/>
              <w:jc w:val="right"/>
              <w:rPr>
                <w:rFonts w:ascii="Arial" w:hAnsi="Arial" w:cs="Arial"/>
                <w:color w:val="000000" w:themeColor="text1"/>
                <w:sz w:val="18"/>
                <w:szCs w:val="16"/>
              </w:rPr>
            </w:pPr>
            <w:r>
              <w:rPr>
                <w:rFonts w:ascii="Arial" w:hAnsi="Arial"/>
                <w:sz w:val="18"/>
                <w:szCs w:val="16"/>
              </w:rPr>
              <w:t>21.00</w:t>
            </w:r>
          </w:p>
        </w:tc>
      </w:tr>
      <w:tr w:rsidR="00D55FCD" w:rsidRPr="00F952F7" w14:paraId="0E42EFC7" w14:textId="77777777" w:rsidTr="00DF03C8">
        <w:trPr>
          <w:trHeight w:val="283"/>
        </w:trPr>
        <w:tc>
          <w:tcPr>
            <w:tcW w:w="3856" w:type="pct"/>
            <w:vAlign w:val="center"/>
          </w:tcPr>
          <w:p w14:paraId="47890C98" w14:textId="77777777" w:rsidR="00D55FCD" w:rsidRPr="000E7BC7" w:rsidRDefault="00D55FCD" w:rsidP="00D55FCD">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6FB5030D" w14:textId="41133F69" w:rsidR="00D55FCD" w:rsidRPr="000E7BC7" w:rsidRDefault="00D55FCD" w:rsidP="00D55FCD">
            <w:pPr>
              <w:spacing w:after="0"/>
              <w:jc w:val="right"/>
              <w:rPr>
                <w:rFonts w:ascii="Arial" w:hAnsi="Arial" w:cs="Arial"/>
                <w:color w:val="000000" w:themeColor="text1"/>
                <w:sz w:val="18"/>
                <w:szCs w:val="16"/>
              </w:rPr>
            </w:pPr>
            <w:r>
              <w:rPr>
                <w:rFonts w:ascii="Arial" w:hAnsi="Arial"/>
                <w:color w:val="000000" w:themeColor="text1"/>
                <w:sz w:val="18"/>
                <w:szCs w:val="16"/>
              </w:rPr>
              <w:t>+16.0</w:t>
            </w:r>
          </w:p>
        </w:tc>
      </w:tr>
      <w:tr w:rsidR="00D55FCD" w:rsidRPr="00F952F7" w14:paraId="2518123F" w14:textId="77777777" w:rsidTr="00DF03C8">
        <w:trPr>
          <w:trHeight w:val="283"/>
        </w:trPr>
        <w:tc>
          <w:tcPr>
            <w:tcW w:w="3856" w:type="pct"/>
            <w:vAlign w:val="center"/>
          </w:tcPr>
          <w:p w14:paraId="38F5680E" w14:textId="77777777" w:rsidR="00D55FCD" w:rsidRPr="000E7BC7" w:rsidRDefault="00D55FCD" w:rsidP="00D55FCD">
            <w:pPr>
              <w:widowControl w:val="0"/>
              <w:spacing w:before="60" w:after="60"/>
              <w:rPr>
                <w:rFonts w:ascii="Arial" w:hAnsi="Arial" w:cs="Arial"/>
                <w:sz w:val="18"/>
                <w:szCs w:val="16"/>
              </w:rPr>
            </w:pPr>
            <w:r>
              <w:rPr>
                <w:rFonts w:ascii="Arial" w:hAnsi="Arial"/>
                <w:b/>
                <w:sz w:val="18"/>
                <w:szCs w:val="16"/>
              </w:rPr>
              <w:t>Stock of office space</w:t>
            </w:r>
            <w:r>
              <w:rPr>
                <w:rFonts w:ascii="Arial" w:hAnsi="Arial"/>
                <w:sz w:val="18"/>
                <w:szCs w:val="16"/>
              </w:rPr>
              <w:t xml:space="preserve"> [millions m²]</w:t>
            </w:r>
          </w:p>
        </w:tc>
        <w:tc>
          <w:tcPr>
            <w:tcW w:w="1144" w:type="pct"/>
            <w:vAlign w:val="center"/>
          </w:tcPr>
          <w:p w14:paraId="39A5B4DB" w14:textId="01B6C8B2" w:rsidR="00D55FCD" w:rsidRPr="000E7BC7" w:rsidRDefault="00D55FCD" w:rsidP="00D55FCD">
            <w:pPr>
              <w:spacing w:after="0"/>
              <w:jc w:val="right"/>
              <w:rPr>
                <w:rFonts w:ascii="Arial" w:hAnsi="Arial" w:cs="Arial"/>
                <w:color w:val="000000" w:themeColor="text1"/>
                <w:sz w:val="18"/>
                <w:szCs w:val="16"/>
              </w:rPr>
            </w:pPr>
            <w:r>
              <w:rPr>
                <w:rFonts w:ascii="Arial" w:hAnsi="Arial"/>
                <w:sz w:val="18"/>
                <w:szCs w:val="16"/>
              </w:rPr>
              <w:t>14.1</w:t>
            </w:r>
          </w:p>
        </w:tc>
      </w:tr>
      <w:tr w:rsidR="00D55FCD" w:rsidRPr="00F952F7" w14:paraId="5213204C" w14:textId="77777777" w:rsidTr="00DF03C8">
        <w:trPr>
          <w:trHeight w:val="283"/>
        </w:trPr>
        <w:tc>
          <w:tcPr>
            <w:tcW w:w="3856" w:type="pct"/>
            <w:vAlign w:val="center"/>
          </w:tcPr>
          <w:p w14:paraId="2780C8D0" w14:textId="77777777" w:rsidR="00D55FCD" w:rsidRPr="000E7BC7" w:rsidRDefault="00D55FCD" w:rsidP="00D55FCD">
            <w:pPr>
              <w:widowControl w:val="0"/>
              <w:spacing w:before="60" w:after="60"/>
              <w:rPr>
                <w:rFonts w:ascii="Arial" w:hAnsi="Arial" w:cs="Arial"/>
                <w:b/>
                <w:sz w:val="18"/>
                <w:szCs w:val="16"/>
              </w:rPr>
            </w:pPr>
            <w:r>
              <w:rPr>
                <w:rFonts w:ascii="Arial" w:hAnsi="Arial"/>
                <w:b/>
                <w:sz w:val="18"/>
                <w:szCs w:val="16"/>
              </w:rPr>
              <w:t>Vacant space</w:t>
            </w:r>
            <w:r>
              <w:rPr>
                <w:rFonts w:ascii="Arial" w:hAnsi="Arial"/>
                <w:sz w:val="18"/>
                <w:szCs w:val="16"/>
              </w:rPr>
              <w:t xml:space="preserve"> incl. sub-let space [m²]</w:t>
            </w:r>
          </w:p>
        </w:tc>
        <w:tc>
          <w:tcPr>
            <w:tcW w:w="1144" w:type="pct"/>
            <w:vAlign w:val="center"/>
          </w:tcPr>
          <w:p w14:paraId="12A4A9CF" w14:textId="541B6F9F" w:rsidR="00D55FCD" w:rsidRPr="000E7BC7" w:rsidRDefault="00D55FCD" w:rsidP="00D55FCD">
            <w:pPr>
              <w:spacing w:after="0"/>
              <w:jc w:val="right"/>
              <w:rPr>
                <w:rFonts w:ascii="Arial" w:hAnsi="Arial" w:cs="Arial"/>
                <w:color w:val="000000" w:themeColor="text1"/>
                <w:sz w:val="18"/>
                <w:szCs w:val="16"/>
              </w:rPr>
            </w:pPr>
            <w:r>
              <w:rPr>
                <w:rFonts w:ascii="Arial" w:hAnsi="Arial"/>
                <w:sz w:val="18"/>
                <w:szCs w:val="16"/>
              </w:rPr>
              <w:t>561,200</w:t>
            </w:r>
          </w:p>
        </w:tc>
      </w:tr>
      <w:tr w:rsidR="00D55FCD" w:rsidRPr="00F952F7" w14:paraId="64C1EF13" w14:textId="77777777" w:rsidTr="00DF03C8">
        <w:trPr>
          <w:trHeight w:val="283"/>
        </w:trPr>
        <w:tc>
          <w:tcPr>
            <w:tcW w:w="3856" w:type="pct"/>
            <w:vAlign w:val="center"/>
          </w:tcPr>
          <w:p w14:paraId="42CAE2FE" w14:textId="77777777" w:rsidR="00D55FCD" w:rsidRPr="000E7BC7" w:rsidRDefault="00D55FCD" w:rsidP="00D55FCD">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44" w:type="pct"/>
            <w:vAlign w:val="center"/>
          </w:tcPr>
          <w:p w14:paraId="7C730CE0" w14:textId="04BEA454" w:rsidR="00D55FCD" w:rsidRPr="000E7BC7" w:rsidRDefault="00D55FCD" w:rsidP="00D55FCD">
            <w:pPr>
              <w:spacing w:after="0"/>
              <w:jc w:val="right"/>
              <w:rPr>
                <w:rFonts w:ascii="Arial" w:hAnsi="Arial" w:cs="Arial"/>
                <w:color w:val="000000" w:themeColor="text1"/>
                <w:sz w:val="18"/>
                <w:szCs w:val="16"/>
              </w:rPr>
            </w:pPr>
            <w:r>
              <w:rPr>
                <w:rFonts w:ascii="Arial" w:hAnsi="Arial"/>
                <w:color w:val="000000" w:themeColor="text1"/>
                <w:sz w:val="18"/>
                <w:szCs w:val="16"/>
              </w:rPr>
              <w:t>+4.4</w:t>
            </w:r>
          </w:p>
        </w:tc>
      </w:tr>
      <w:tr w:rsidR="00D55FCD" w:rsidRPr="00F952F7" w14:paraId="40CB2D96" w14:textId="77777777" w:rsidTr="00DF03C8">
        <w:trPr>
          <w:trHeight w:val="283"/>
        </w:trPr>
        <w:tc>
          <w:tcPr>
            <w:tcW w:w="3856" w:type="pct"/>
            <w:vAlign w:val="center"/>
          </w:tcPr>
          <w:p w14:paraId="7EFD95EC" w14:textId="77777777" w:rsidR="00D55FCD" w:rsidRPr="000E7BC7" w:rsidRDefault="00D55FCD" w:rsidP="00D55FCD">
            <w:pPr>
              <w:widowControl w:val="0"/>
              <w:spacing w:before="60" w:after="60"/>
              <w:rPr>
                <w:rFonts w:ascii="Arial" w:hAnsi="Arial" w:cs="Arial"/>
                <w:b/>
                <w:sz w:val="18"/>
                <w:szCs w:val="16"/>
              </w:rPr>
            </w:pPr>
            <w:r>
              <w:rPr>
                <w:rFonts w:ascii="Arial" w:hAnsi="Arial"/>
                <w:b/>
                <w:sz w:val="18"/>
                <w:szCs w:val="16"/>
              </w:rPr>
              <w:t>Vacancy rate</w:t>
            </w:r>
            <w:r>
              <w:rPr>
                <w:rFonts w:ascii="Arial" w:hAnsi="Arial"/>
                <w:sz w:val="18"/>
                <w:szCs w:val="16"/>
              </w:rPr>
              <w:t xml:space="preserve"> incl. sub-let space [%]</w:t>
            </w:r>
          </w:p>
        </w:tc>
        <w:tc>
          <w:tcPr>
            <w:tcW w:w="1144" w:type="pct"/>
            <w:vAlign w:val="center"/>
          </w:tcPr>
          <w:p w14:paraId="616D7FC2" w14:textId="087CB0A4" w:rsidR="00D55FCD" w:rsidRPr="000E7BC7" w:rsidRDefault="00D55FCD" w:rsidP="00D55FCD">
            <w:pPr>
              <w:spacing w:after="0"/>
              <w:jc w:val="right"/>
              <w:rPr>
                <w:rFonts w:ascii="Arial" w:hAnsi="Arial" w:cs="Arial"/>
                <w:color w:val="000000" w:themeColor="text1"/>
                <w:sz w:val="18"/>
                <w:szCs w:val="16"/>
              </w:rPr>
            </w:pPr>
            <w:r>
              <w:rPr>
                <w:rFonts w:ascii="Arial" w:hAnsi="Arial"/>
                <w:color w:val="000000" w:themeColor="text1"/>
                <w:sz w:val="18"/>
                <w:szCs w:val="16"/>
              </w:rPr>
              <w:t>4.0</w:t>
            </w:r>
          </w:p>
        </w:tc>
      </w:tr>
      <w:tr w:rsidR="00D55FCD" w:rsidRPr="00F952F7" w14:paraId="5E4D6219" w14:textId="77777777" w:rsidTr="00DF03C8">
        <w:trPr>
          <w:trHeight w:val="283"/>
        </w:trPr>
        <w:tc>
          <w:tcPr>
            <w:tcW w:w="3856" w:type="pct"/>
            <w:tcBorders>
              <w:bottom w:val="single" w:sz="4" w:space="0" w:color="auto"/>
            </w:tcBorders>
            <w:vAlign w:val="center"/>
          </w:tcPr>
          <w:p w14:paraId="4DA0B3D9" w14:textId="218F64F9" w:rsidR="00D55FCD" w:rsidRPr="000E7BC7" w:rsidRDefault="0012774D" w:rsidP="00D55FCD">
            <w:pPr>
              <w:widowControl w:val="0"/>
              <w:spacing w:before="60" w:after="60"/>
              <w:rPr>
                <w:rFonts w:ascii="Arial" w:hAnsi="Arial" w:cs="Arial"/>
                <w:b/>
                <w:sz w:val="18"/>
                <w:szCs w:val="16"/>
              </w:rPr>
            </w:pPr>
            <w:r>
              <w:rPr>
                <w:rFonts w:ascii="Arial" w:hAnsi="Arial"/>
                <w:b/>
                <w:bCs/>
                <w:sz w:val="18"/>
                <w:szCs w:val="16"/>
              </w:rPr>
              <w:t>Completions 2023+2024</w:t>
            </w:r>
            <w:r>
              <w:rPr>
                <w:rFonts w:ascii="Arial" w:hAnsi="Arial"/>
                <w:bCs/>
                <w:sz w:val="18"/>
                <w:szCs w:val="16"/>
              </w:rPr>
              <w:t xml:space="preserve"> </w:t>
            </w:r>
            <w:r>
              <w:rPr>
                <w:rFonts w:ascii="Arial" w:hAnsi="Arial"/>
                <w:sz w:val="18"/>
                <w:szCs w:val="16"/>
              </w:rPr>
              <w:t>[m²]</w:t>
            </w:r>
          </w:p>
        </w:tc>
        <w:tc>
          <w:tcPr>
            <w:tcW w:w="1144" w:type="pct"/>
            <w:tcBorders>
              <w:bottom w:val="single" w:sz="4" w:space="0" w:color="auto"/>
            </w:tcBorders>
            <w:vAlign w:val="center"/>
          </w:tcPr>
          <w:p w14:paraId="29207C4D" w14:textId="4907E8BC" w:rsidR="00D55FCD" w:rsidRPr="000E7BC7" w:rsidRDefault="0012774D" w:rsidP="00D55FCD">
            <w:pPr>
              <w:spacing w:after="0"/>
              <w:jc w:val="right"/>
              <w:rPr>
                <w:rFonts w:ascii="Arial" w:hAnsi="Arial" w:cs="Arial"/>
                <w:color w:val="000000" w:themeColor="text1"/>
                <w:sz w:val="18"/>
                <w:szCs w:val="16"/>
              </w:rPr>
            </w:pPr>
            <w:r>
              <w:rPr>
                <w:rFonts w:ascii="Arial" w:hAnsi="Arial"/>
                <w:sz w:val="18"/>
                <w:szCs w:val="16"/>
              </w:rPr>
              <w:t>440,000</w:t>
            </w:r>
          </w:p>
        </w:tc>
      </w:tr>
      <w:tr w:rsidR="00D55FCD" w:rsidRPr="00F952F7" w14:paraId="39ED958F" w14:textId="77777777" w:rsidTr="00DF03C8">
        <w:trPr>
          <w:trHeight w:val="283"/>
        </w:trPr>
        <w:tc>
          <w:tcPr>
            <w:tcW w:w="3856" w:type="pct"/>
            <w:tcBorders>
              <w:bottom w:val="single" w:sz="4" w:space="0" w:color="auto"/>
            </w:tcBorders>
            <w:vAlign w:val="center"/>
          </w:tcPr>
          <w:p w14:paraId="59B947E6" w14:textId="77777777" w:rsidR="00D55FCD" w:rsidRPr="000E7BC7" w:rsidRDefault="00D55FCD" w:rsidP="00D55FCD">
            <w:pPr>
              <w:widowControl w:val="0"/>
              <w:spacing w:before="60" w:after="60"/>
              <w:rPr>
                <w:rFonts w:ascii="Arial" w:hAnsi="Arial" w:cs="Arial"/>
                <w:b/>
                <w:sz w:val="18"/>
                <w:szCs w:val="16"/>
              </w:rPr>
            </w:pPr>
            <w:r>
              <w:rPr>
                <w:rFonts w:ascii="Arial" w:hAnsi="Arial"/>
                <w:b/>
                <w:sz w:val="18"/>
                <w:szCs w:val="16"/>
              </w:rPr>
              <w:t>Pre-let ratio</w:t>
            </w:r>
            <w:r>
              <w:rPr>
                <w:rFonts w:ascii="Arial" w:hAnsi="Arial"/>
                <w:sz w:val="18"/>
                <w:szCs w:val="16"/>
              </w:rPr>
              <w:t xml:space="preserve"> [%]</w:t>
            </w:r>
          </w:p>
        </w:tc>
        <w:tc>
          <w:tcPr>
            <w:tcW w:w="1144" w:type="pct"/>
            <w:tcBorders>
              <w:bottom w:val="single" w:sz="4" w:space="0" w:color="auto"/>
            </w:tcBorders>
            <w:vAlign w:val="center"/>
          </w:tcPr>
          <w:p w14:paraId="34083532" w14:textId="0D8D2F56" w:rsidR="00D55FCD" w:rsidRPr="000E7BC7" w:rsidRDefault="0012774D" w:rsidP="00D55FCD">
            <w:pPr>
              <w:spacing w:after="0"/>
              <w:jc w:val="right"/>
              <w:rPr>
                <w:rFonts w:ascii="Arial" w:hAnsi="Arial" w:cs="Arial"/>
                <w:color w:val="000000" w:themeColor="text1"/>
                <w:sz w:val="18"/>
                <w:szCs w:val="16"/>
              </w:rPr>
            </w:pPr>
            <w:r>
              <w:rPr>
                <w:rFonts w:ascii="Arial" w:hAnsi="Arial"/>
                <w:color w:val="000000" w:themeColor="text1"/>
                <w:sz w:val="18"/>
                <w:szCs w:val="16"/>
              </w:rPr>
              <w:t>65</w:t>
            </w:r>
          </w:p>
        </w:tc>
      </w:tr>
    </w:tbl>
    <w:p w14:paraId="2776974B" w14:textId="30BCA755" w:rsidR="001533C6" w:rsidRDefault="001533C6" w:rsidP="001533C6">
      <w:pPr>
        <w:spacing w:after="0"/>
        <w:rPr>
          <w:rFonts w:ascii="Arial" w:hAnsi="Arial" w:cs="Arial"/>
          <w:b/>
          <w:sz w:val="20"/>
          <w:szCs w:val="20"/>
        </w:rPr>
      </w:pPr>
    </w:p>
    <w:p w14:paraId="0B96EC8B" w14:textId="77777777" w:rsidR="001533C6" w:rsidRDefault="001533C6" w:rsidP="001533C6">
      <w:pPr>
        <w:spacing w:after="0"/>
        <w:rPr>
          <w:rFonts w:ascii="Arial" w:hAnsi="Arial" w:cs="Arial"/>
          <w:b/>
          <w:sz w:val="20"/>
          <w:szCs w:val="20"/>
        </w:rPr>
      </w:pPr>
    </w:p>
    <w:p w14:paraId="7C5FA7AA" w14:textId="77777777" w:rsidR="00123E01" w:rsidRDefault="00123E01" w:rsidP="001533C6">
      <w:pPr>
        <w:spacing w:after="0"/>
        <w:rPr>
          <w:rFonts w:ascii="Arial" w:hAnsi="Arial" w:cs="Arial"/>
          <w:b/>
          <w:sz w:val="20"/>
          <w:szCs w:val="20"/>
        </w:rPr>
      </w:pPr>
    </w:p>
    <w:p w14:paraId="034C0035" w14:textId="77777777" w:rsidR="00123E01" w:rsidRDefault="00123E01" w:rsidP="001533C6">
      <w:pPr>
        <w:spacing w:after="0"/>
        <w:rPr>
          <w:rFonts w:ascii="Arial" w:hAnsi="Arial" w:cs="Arial"/>
          <w:b/>
          <w:sz w:val="20"/>
          <w:szCs w:val="20"/>
        </w:rPr>
      </w:pPr>
    </w:p>
    <w:p w14:paraId="45388B5A" w14:textId="38E25724" w:rsidR="001533C6" w:rsidRDefault="001533C6" w:rsidP="001533C6">
      <w:pPr>
        <w:spacing w:after="0"/>
        <w:rPr>
          <w:rFonts w:ascii="Arial" w:eastAsia="Arial" w:hAnsi="Arial" w:cs="Arial"/>
          <w:b/>
          <w:color w:val="000000" w:themeColor="text1"/>
          <w:sz w:val="20"/>
          <w:szCs w:val="20"/>
        </w:rPr>
      </w:pPr>
      <w:r>
        <w:rPr>
          <w:rFonts w:ascii="Arial" w:hAnsi="Arial"/>
          <w:b/>
          <w:sz w:val="20"/>
          <w:szCs w:val="20"/>
        </w:rPr>
        <w:t xml:space="preserve">Top selected known agreements | offices in Hamburg | </w:t>
      </w:r>
      <w:r w:rsidR="00E0111D">
        <w:rPr>
          <w:rFonts w:ascii="Arial" w:hAnsi="Arial"/>
          <w:b/>
          <w:sz w:val="20"/>
          <w:szCs w:val="20"/>
        </w:rPr>
        <w:t>Q1-4</w:t>
      </w:r>
      <w:r>
        <w:rPr>
          <w:rFonts w:ascii="Arial" w:hAnsi="Arial"/>
          <w:b/>
          <w:sz w:val="20"/>
          <w:szCs w:val="20"/>
        </w:rPr>
        <w:t xml:space="preserve"> 2022</w:t>
      </w:r>
    </w:p>
    <w:tbl>
      <w:tblPr>
        <w:tblStyle w:val="Tabellenraster"/>
        <w:tblpPr w:leftFromText="141" w:rightFromText="141" w:vertAnchor="text" w:horzAnchor="margin" w:tblpXSpec="center" w:tblpY="218"/>
        <w:tblW w:w="9634" w:type="dxa"/>
        <w:jc w:val="center"/>
        <w:tblLook w:val="04A0" w:firstRow="1" w:lastRow="0" w:firstColumn="1" w:lastColumn="0" w:noHBand="0" w:noVBand="1"/>
      </w:tblPr>
      <w:tblGrid>
        <w:gridCol w:w="2405"/>
        <w:gridCol w:w="2410"/>
        <w:gridCol w:w="2693"/>
        <w:gridCol w:w="1294"/>
        <w:gridCol w:w="832"/>
      </w:tblGrid>
      <w:tr w:rsidR="006C77F1" w:rsidRPr="0017364E" w14:paraId="60919A6D" w14:textId="77777777" w:rsidTr="0092297D">
        <w:trPr>
          <w:trHeight w:val="567"/>
          <w:jc w:val="center"/>
        </w:trPr>
        <w:tc>
          <w:tcPr>
            <w:tcW w:w="2405" w:type="dxa"/>
            <w:shd w:val="clear" w:color="auto" w:fill="000000" w:themeFill="text1"/>
            <w:vAlign w:val="center"/>
          </w:tcPr>
          <w:p w14:paraId="2546E44C" w14:textId="77777777" w:rsidR="001533C6" w:rsidRPr="001533C6" w:rsidRDefault="001533C6" w:rsidP="00045697">
            <w:pPr>
              <w:spacing w:before="60" w:after="60"/>
              <w:jc w:val="center"/>
              <w:rPr>
                <w:rFonts w:ascii="Arial" w:hAnsi="Arial" w:cs="Arial"/>
                <w:b/>
                <w:color w:val="FFFFFF" w:themeColor="background1"/>
                <w:sz w:val="18"/>
                <w:szCs w:val="16"/>
              </w:rPr>
            </w:pPr>
            <w:r>
              <w:rPr>
                <w:rFonts w:ascii="Arial" w:hAnsi="Arial"/>
                <w:b/>
                <w:color w:val="FFFFFF" w:themeColor="background1"/>
                <w:sz w:val="18"/>
                <w:szCs w:val="16"/>
              </w:rPr>
              <w:t>Tenant/owner-occupier</w:t>
            </w:r>
          </w:p>
          <w:p w14:paraId="2BB100F7" w14:textId="77777777" w:rsidR="001533C6" w:rsidRPr="001533C6" w:rsidRDefault="001533C6" w:rsidP="00045697">
            <w:pPr>
              <w:spacing w:before="60" w:after="60"/>
              <w:jc w:val="center"/>
              <w:rPr>
                <w:rFonts w:ascii="Arial" w:hAnsi="Arial" w:cs="Arial"/>
                <w:b/>
                <w:color w:val="FFFFFF" w:themeColor="background1"/>
                <w:sz w:val="18"/>
                <w:szCs w:val="16"/>
              </w:rPr>
            </w:pPr>
          </w:p>
        </w:tc>
        <w:tc>
          <w:tcPr>
            <w:tcW w:w="2410" w:type="dxa"/>
            <w:shd w:val="clear" w:color="auto" w:fill="000000" w:themeFill="text1"/>
            <w:vAlign w:val="center"/>
          </w:tcPr>
          <w:p w14:paraId="407ED6E7" w14:textId="77777777" w:rsidR="001533C6" w:rsidRPr="001533C6" w:rsidRDefault="001533C6" w:rsidP="00045697">
            <w:pPr>
              <w:spacing w:before="60" w:after="60"/>
              <w:jc w:val="center"/>
              <w:rPr>
                <w:rFonts w:ascii="Arial" w:hAnsi="Arial" w:cs="Arial"/>
                <w:b/>
                <w:color w:val="FFFFFF" w:themeColor="background1"/>
                <w:sz w:val="18"/>
                <w:szCs w:val="16"/>
              </w:rPr>
            </w:pPr>
            <w:r>
              <w:rPr>
                <w:rFonts w:ascii="Arial" w:hAnsi="Arial"/>
                <w:b/>
                <w:color w:val="FFFFFF" w:themeColor="background1"/>
                <w:sz w:val="18"/>
                <w:szCs w:val="16"/>
              </w:rPr>
              <w:t>Property/project</w:t>
            </w:r>
          </w:p>
          <w:p w14:paraId="5D072738" w14:textId="77777777" w:rsidR="001533C6" w:rsidRPr="001533C6" w:rsidRDefault="001533C6" w:rsidP="00045697">
            <w:pPr>
              <w:spacing w:before="60" w:after="60"/>
              <w:jc w:val="center"/>
              <w:rPr>
                <w:rFonts w:ascii="Arial" w:hAnsi="Arial" w:cs="Arial"/>
                <w:b/>
                <w:color w:val="FFFFFF" w:themeColor="background1"/>
                <w:sz w:val="18"/>
                <w:szCs w:val="16"/>
              </w:rPr>
            </w:pPr>
          </w:p>
        </w:tc>
        <w:tc>
          <w:tcPr>
            <w:tcW w:w="2693" w:type="dxa"/>
            <w:shd w:val="clear" w:color="auto" w:fill="000000" w:themeFill="text1"/>
            <w:vAlign w:val="center"/>
          </w:tcPr>
          <w:p w14:paraId="76787E3C" w14:textId="77777777" w:rsidR="001533C6" w:rsidRPr="001533C6" w:rsidRDefault="001533C6" w:rsidP="00045697">
            <w:pPr>
              <w:spacing w:before="60" w:after="60"/>
              <w:jc w:val="center"/>
              <w:rPr>
                <w:rFonts w:ascii="Arial" w:hAnsi="Arial" w:cs="Arial"/>
                <w:b/>
                <w:color w:val="FFFFFF" w:themeColor="background1"/>
                <w:sz w:val="18"/>
                <w:szCs w:val="16"/>
              </w:rPr>
            </w:pPr>
            <w:r>
              <w:rPr>
                <w:rFonts w:ascii="Arial" w:hAnsi="Arial"/>
                <w:b/>
                <w:color w:val="FFFFFF" w:themeColor="background1"/>
                <w:sz w:val="18"/>
                <w:szCs w:val="16"/>
              </w:rPr>
              <w:t>Street no.</w:t>
            </w:r>
          </w:p>
          <w:p w14:paraId="078FBD69" w14:textId="77777777" w:rsidR="001533C6" w:rsidRPr="001533C6" w:rsidRDefault="001533C6" w:rsidP="00045697">
            <w:pPr>
              <w:spacing w:before="60" w:after="60"/>
              <w:jc w:val="center"/>
              <w:rPr>
                <w:rFonts w:ascii="Arial" w:hAnsi="Arial" w:cs="Arial"/>
                <w:b/>
                <w:color w:val="FFFFFF" w:themeColor="background1"/>
                <w:sz w:val="18"/>
                <w:szCs w:val="16"/>
              </w:rPr>
            </w:pPr>
          </w:p>
        </w:tc>
        <w:tc>
          <w:tcPr>
            <w:tcW w:w="1294" w:type="dxa"/>
            <w:shd w:val="clear" w:color="auto" w:fill="000000" w:themeFill="text1"/>
            <w:vAlign w:val="center"/>
          </w:tcPr>
          <w:p w14:paraId="30621121" w14:textId="77777777" w:rsidR="001533C6" w:rsidRPr="001533C6" w:rsidRDefault="001533C6" w:rsidP="00045697">
            <w:pPr>
              <w:spacing w:before="60" w:after="60"/>
              <w:jc w:val="center"/>
              <w:rPr>
                <w:rFonts w:ascii="Arial" w:hAnsi="Arial" w:cs="Arial"/>
                <w:b/>
                <w:color w:val="FFFFFF" w:themeColor="background1"/>
                <w:sz w:val="18"/>
                <w:szCs w:val="16"/>
              </w:rPr>
            </w:pPr>
            <w:r>
              <w:rPr>
                <w:rFonts w:ascii="Arial" w:hAnsi="Arial"/>
                <w:b/>
                <w:color w:val="FFFFFF" w:themeColor="background1"/>
                <w:sz w:val="18"/>
                <w:szCs w:val="16"/>
              </w:rPr>
              <w:t>Sub-market</w:t>
            </w:r>
          </w:p>
          <w:p w14:paraId="3D37EA5E" w14:textId="77777777" w:rsidR="001533C6" w:rsidRPr="001533C6" w:rsidRDefault="001533C6" w:rsidP="00045697">
            <w:pPr>
              <w:spacing w:before="60" w:after="60"/>
              <w:jc w:val="center"/>
              <w:rPr>
                <w:rFonts w:ascii="Arial" w:hAnsi="Arial" w:cs="Arial"/>
                <w:b/>
                <w:color w:val="FFFFFF" w:themeColor="background1"/>
                <w:sz w:val="18"/>
                <w:szCs w:val="16"/>
              </w:rPr>
            </w:pPr>
          </w:p>
        </w:tc>
        <w:tc>
          <w:tcPr>
            <w:tcW w:w="832" w:type="dxa"/>
            <w:shd w:val="clear" w:color="auto" w:fill="000000" w:themeFill="text1"/>
            <w:vAlign w:val="center"/>
          </w:tcPr>
          <w:p w14:paraId="2526E7A6" w14:textId="77777777" w:rsidR="001533C6" w:rsidRPr="001533C6" w:rsidRDefault="001533C6" w:rsidP="00045697">
            <w:pPr>
              <w:spacing w:before="60" w:after="60"/>
              <w:jc w:val="center"/>
              <w:rPr>
                <w:rFonts w:ascii="Arial" w:hAnsi="Arial" w:cs="Arial"/>
                <w:b/>
                <w:color w:val="FFFFFF" w:themeColor="background1"/>
                <w:sz w:val="18"/>
                <w:szCs w:val="16"/>
              </w:rPr>
            </w:pPr>
            <w:r>
              <w:rPr>
                <w:rFonts w:ascii="Arial" w:hAnsi="Arial"/>
                <w:b/>
                <w:color w:val="FFFFFF" w:themeColor="background1"/>
                <w:sz w:val="18"/>
                <w:szCs w:val="16"/>
              </w:rPr>
              <w:t>Rental area</w:t>
            </w:r>
            <w:r>
              <w:rPr>
                <w:rFonts w:ascii="Arial" w:hAnsi="Arial"/>
                <w:b/>
                <w:color w:val="FFFFFF" w:themeColor="background1"/>
                <w:sz w:val="18"/>
                <w:szCs w:val="16"/>
              </w:rPr>
              <w:br/>
            </w:r>
            <w:r>
              <w:rPr>
                <w:rFonts w:ascii="Arial" w:hAnsi="Arial"/>
                <w:color w:val="FFFFFF" w:themeColor="background1"/>
                <w:sz w:val="18"/>
                <w:szCs w:val="16"/>
              </w:rPr>
              <w:t>[ca. m²]</w:t>
            </w:r>
          </w:p>
        </w:tc>
      </w:tr>
      <w:tr w:rsidR="00CD4A02" w:rsidRPr="0017364E" w14:paraId="4F113D36" w14:textId="77777777" w:rsidTr="00DA196C">
        <w:trPr>
          <w:trHeight w:val="567"/>
          <w:jc w:val="center"/>
        </w:trPr>
        <w:tc>
          <w:tcPr>
            <w:tcW w:w="2405" w:type="dxa"/>
            <w:shd w:val="clear" w:color="auto" w:fill="auto"/>
            <w:vAlign w:val="center"/>
          </w:tcPr>
          <w:p w14:paraId="2E489964" w14:textId="5889DEFA" w:rsidR="00CD4A02" w:rsidRDefault="00CD4A02" w:rsidP="00045697">
            <w:pPr>
              <w:spacing w:before="60" w:after="60"/>
              <w:rPr>
                <w:rFonts w:ascii="Arial" w:hAnsi="Arial" w:cs="Arial"/>
                <w:sz w:val="20"/>
                <w:szCs w:val="20"/>
              </w:rPr>
            </w:pPr>
            <w:proofErr w:type="spellStart"/>
            <w:r>
              <w:rPr>
                <w:rFonts w:ascii="Arial" w:hAnsi="Arial"/>
                <w:sz w:val="20"/>
                <w:szCs w:val="20"/>
              </w:rPr>
              <w:t>Dataport</w:t>
            </w:r>
            <w:proofErr w:type="spellEnd"/>
          </w:p>
        </w:tc>
        <w:tc>
          <w:tcPr>
            <w:tcW w:w="2410" w:type="dxa"/>
            <w:shd w:val="clear" w:color="auto" w:fill="auto"/>
            <w:vAlign w:val="center"/>
          </w:tcPr>
          <w:p w14:paraId="323154EA" w14:textId="68B3780D" w:rsidR="00CD4A02" w:rsidRDefault="00CD4A02" w:rsidP="00045697">
            <w:pPr>
              <w:spacing w:after="0"/>
              <w:rPr>
                <w:rFonts w:ascii="Arial" w:hAnsi="Arial" w:cs="Arial"/>
                <w:color w:val="000000"/>
                <w:sz w:val="20"/>
                <w:szCs w:val="20"/>
              </w:rPr>
            </w:pPr>
            <w:r>
              <w:rPr>
                <w:rFonts w:ascii="Arial" w:hAnsi="Arial"/>
                <w:color w:val="000000"/>
                <w:sz w:val="20"/>
                <w:szCs w:val="20"/>
              </w:rPr>
              <w:t xml:space="preserve">“Hanse </w:t>
            </w:r>
            <w:proofErr w:type="spellStart"/>
            <w:r>
              <w:rPr>
                <w:rFonts w:ascii="Arial" w:hAnsi="Arial"/>
                <w:color w:val="000000"/>
                <w:sz w:val="20"/>
                <w:szCs w:val="20"/>
              </w:rPr>
              <w:t>Center</w:t>
            </w:r>
            <w:proofErr w:type="spellEnd"/>
            <w:r>
              <w:rPr>
                <w:rFonts w:ascii="Arial" w:hAnsi="Arial"/>
                <w:color w:val="000000"/>
                <w:sz w:val="20"/>
                <w:szCs w:val="20"/>
              </w:rPr>
              <w:t>”</w:t>
            </w:r>
          </w:p>
        </w:tc>
        <w:tc>
          <w:tcPr>
            <w:tcW w:w="2693" w:type="dxa"/>
            <w:shd w:val="clear" w:color="auto" w:fill="auto"/>
            <w:vAlign w:val="center"/>
          </w:tcPr>
          <w:p w14:paraId="299368B4" w14:textId="2B23C795" w:rsidR="00CD4A02" w:rsidRPr="004D3D75" w:rsidRDefault="00CD4A02" w:rsidP="0092297D">
            <w:pPr>
              <w:spacing w:after="0"/>
              <w:rPr>
                <w:rFonts w:ascii="Arial" w:hAnsi="Arial" w:cs="Arial"/>
                <w:color w:val="000000"/>
                <w:sz w:val="16"/>
                <w:szCs w:val="16"/>
              </w:rPr>
            </w:pPr>
            <w:proofErr w:type="spellStart"/>
            <w:r>
              <w:rPr>
                <w:rFonts w:ascii="Arial" w:hAnsi="Arial"/>
                <w:sz w:val="16"/>
                <w:szCs w:val="16"/>
              </w:rPr>
              <w:t>Wikingerweg</w:t>
            </w:r>
            <w:proofErr w:type="spellEnd"/>
            <w:r>
              <w:rPr>
                <w:rFonts w:ascii="Arial" w:hAnsi="Arial"/>
                <w:sz w:val="16"/>
                <w:szCs w:val="16"/>
              </w:rPr>
              <w:t xml:space="preserve"> 1, </w:t>
            </w:r>
            <w:proofErr w:type="spellStart"/>
            <w:r>
              <w:rPr>
                <w:rFonts w:ascii="Arial" w:hAnsi="Arial"/>
                <w:sz w:val="16"/>
                <w:szCs w:val="16"/>
              </w:rPr>
              <w:t>Normannenweg</w:t>
            </w:r>
            <w:proofErr w:type="spellEnd"/>
            <w:r>
              <w:rPr>
                <w:rFonts w:ascii="Arial" w:hAnsi="Arial"/>
                <w:sz w:val="16"/>
                <w:szCs w:val="16"/>
              </w:rPr>
              <w:t xml:space="preserve"> 25, 27, 29, </w:t>
            </w:r>
            <w:proofErr w:type="spellStart"/>
            <w:r>
              <w:rPr>
                <w:rFonts w:ascii="Arial" w:hAnsi="Arial"/>
                <w:sz w:val="16"/>
                <w:szCs w:val="16"/>
              </w:rPr>
              <w:t>Eiffestrasse</w:t>
            </w:r>
            <w:proofErr w:type="spellEnd"/>
            <w:r>
              <w:rPr>
                <w:rFonts w:ascii="Arial" w:hAnsi="Arial"/>
                <w:sz w:val="16"/>
                <w:szCs w:val="16"/>
              </w:rPr>
              <w:t xml:space="preserve"> 26, 28, 30</w:t>
            </w:r>
          </w:p>
        </w:tc>
        <w:tc>
          <w:tcPr>
            <w:tcW w:w="1294" w:type="dxa"/>
            <w:shd w:val="clear" w:color="auto" w:fill="auto"/>
            <w:vAlign w:val="center"/>
          </w:tcPr>
          <w:p w14:paraId="1724971D" w14:textId="5255136A" w:rsidR="00CD4A02" w:rsidRDefault="00CD4A02" w:rsidP="00045697">
            <w:pPr>
              <w:spacing w:after="0"/>
              <w:rPr>
                <w:rFonts w:ascii="Arial" w:hAnsi="Arial" w:cs="Arial"/>
                <w:color w:val="000000"/>
                <w:sz w:val="20"/>
                <w:szCs w:val="20"/>
              </w:rPr>
            </w:pPr>
            <w:r>
              <w:rPr>
                <w:rFonts w:ascii="Arial" w:hAnsi="Arial"/>
                <w:color w:val="000000"/>
                <w:sz w:val="20"/>
                <w:szCs w:val="20"/>
              </w:rPr>
              <w:t>City South</w:t>
            </w:r>
          </w:p>
        </w:tc>
        <w:tc>
          <w:tcPr>
            <w:tcW w:w="832" w:type="dxa"/>
            <w:shd w:val="clear" w:color="auto" w:fill="auto"/>
            <w:vAlign w:val="center"/>
          </w:tcPr>
          <w:p w14:paraId="71C5DF37" w14:textId="55F2EA5A" w:rsidR="00CD4A02" w:rsidRDefault="00CD4A02" w:rsidP="008A6585">
            <w:pPr>
              <w:spacing w:after="0"/>
              <w:jc w:val="right"/>
              <w:rPr>
                <w:rFonts w:ascii="Arial" w:hAnsi="Arial" w:cs="Arial"/>
                <w:color w:val="000000"/>
                <w:sz w:val="20"/>
                <w:szCs w:val="20"/>
              </w:rPr>
            </w:pPr>
            <w:r>
              <w:rPr>
                <w:rFonts w:ascii="Arial" w:hAnsi="Arial"/>
                <w:color w:val="000000"/>
                <w:sz w:val="20"/>
                <w:szCs w:val="20"/>
              </w:rPr>
              <w:t>40,000</w:t>
            </w:r>
          </w:p>
        </w:tc>
      </w:tr>
      <w:tr w:rsidR="006C77F1" w:rsidRPr="0017364E" w14:paraId="77DBE2C5" w14:textId="77777777" w:rsidTr="0092297D">
        <w:trPr>
          <w:trHeight w:val="567"/>
          <w:jc w:val="center"/>
        </w:trPr>
        <w:tc>
          <w:tcPr>
            <w:tcW w:w="2405" w:type="dxa"/>
            <w:shd w:val="clear" w:color="auto" w:fill="auto"/>
            <w:vAlign w:val="center"/>
          </w:tcPr>
          <w:p w14:paraId="4CDE409B" w14:textId="764BF4B7" w:rsidR="00276FB2" w:rsidRPr="006C77F1" w:rsidRDefault="00A14078" w:rsidP="00045697">
            <w:pPr>
              <w:spacing w:before="60" w:after="60"/>
              <w:rPr>
                <w:rFonts w:ascii="Arial" w:hAnsi="Arial" w:cs="Arial"/>
                <w:sz w:val="20"/>
                <w:szCs w:val="20"/>
              </w:rPr>
            </w:pPr>
            <w:r>
              <w:rPr>
                <w:rFonts w:ascii="Arial" w:hAnsi="Arial"/>
                <w:sz w:val="20"/>
                <w:szCs w:val="20"/>
              </w:rPr>
              <w:t xml:space="preserve">Hamburger </w:t>
            </w:r>
            <w:proofErr w:type="spellStart"/>
            <w:r>
              <w:rPr>
                <w:rFonts w:ascii="Arial" w:hAnsi="Arial"/>
                <w:sz w:val="20"/>
                <w:szCs w:val="20"/>
              </w:rPr>
              <w:t>Sparkasse</w:t>
            </w:r>
            <w:proofErr w:type="spellEnd"/>
          </w:p>
        </w:tc>
        <w:tc>
          <w:tcPr>
            <w:tcW w:w="2410" w:type="dxa"/>
            <w:shd w:val="clear" w:color="auto" w:fill="auto"/>
            <w:vAlign w:val="center"/>
          </w:tcPr>
          <w:p w14:paraId="05616190" w14:textId="2B5C2FF8" w:rsidR="00276FB2" w:rsidRPr="006C77F1" w:rsidRDefault="00A14078" w:rsidP="00045697">
            <w:pPr>
              <w:spacing w:after="0"/>
              <w:rPr>
                <w:rFonts w:ascii="Arial" w:hAnsi="Arial" w:cs="Arial"/>
                <w:color w:val="000000"/>
                <w:sz w:val="20"/>
                <w:szCs w:val="20"/>
              </w:rPr>
            </w:pPr>
            <w:r>
              <w:rPr>
                <w:rFonts w:ascii="Arial" w:hAnsi="Arial"/>
                <w:color w:val="000000"/>
                <w:sz w:val="20"/>
                <w:szCs w:val="20"/>
              </w:rPr>
              <w:t>“</w:t>
            </w:r>
            <w:proofErr w:type="spellStart"/>
            <w:r>
              <w:rPr>
                <w:rFonts w:ascii="Arial" w:hAnsi="Arial"/>
                <w:color w:val="000000"/>
                <w:sz w:val="20"/>
                <w:szCs w:val="20"/>
              </w:rPr>
              <w:t>Deutschlandhaus</w:t>
            </w:r>
            <w:proofErr w:type="spellEnd"/>
            <w:r>
              <w:rPr>
                <w:rFonts w:ascii="Arial" w:hAnsi="Arial"/>
                <w:color w:val="000000"/>
                <w:sz w:val="20"/>
                <w:szCs w:val="20"/>
              </w:rPr>
              <w:t>”</w:t>
            </w:r>
          </w:p>
        </w:tc>
        <w:tc>
          <w:tcPr>
            <w:tcW w:w="2693" w:type="dxa"/>
            <w:shd w:val="clear" w:color="auto" w:fill="auto"/>
            <w:vAlign w:val="center"/>
          </w:tcPr>
          <w:p w14:paraId="03E89055" w14:textId="256D4582" w:rsidR="00276FB2" w:rsidRPr="006C77F1" w:rsidRDefault="00A14078" w:rsidP="00045697">
            <w:pPr>
              <w:spacing w:after="0"/>
              <w:rPr>
                <w:rFonts w:ascii="Arial" w:hAnsi="Arial" w:cs="Arial"/>
                <w:color w:val="000000"/>
                <w:sz w:val="20"/>
                <w:szCs w:val="20"/>
              </w:rPr>
            </w:pPr>
            <w:proofErr w:type="spellStart"/>
            <w:r>
              <w:rPr>
                <w:rFonts w:ascii="Arial" w:hAnsi="Arial"/>
                <w:color w:val="000000"/>
                <w:sz w:val="20"/>
                <w:szCs w:val="20"/>
              </w:rPr>
              <w:t>Dammtorstrasse</w:t>
            </w:r>
            <w:proofErr w:type="spellEnd"/>
            <w:r>
              <w:rPr>
                <w:rFonts w:ascii="Arial" w:hAnsi="Arial"/>
                <w:color w:val="000000"/>
                <w:sz w:val="20"/>
                <w:szCs w:val="20"/>
              </w:rPr>
              <w:t xml:space="preserve"> 1</w:t>
            </w:r>
          </w:p>
        </w:tc>
        <w:tc>
          <w:tcPr>
            <w:tcW w:w="1294" w:type="dxa"/>
            <w:shd w:val="clear" w:color="auto" w:fill="auto"/>
            <w:vAlign w:val="center"/>
          </w:tcPr>
          <w:p w14:paraId="0BF5B724" w14:textId="7582D84E" w:rsidR="00276FB2" w:rsidRPr="006C77F1" w:rsidRDefault="00A14078" w:rsidP="00045697">
            <w:pPr>
              <w:spacing w:after="0"/>
              <w:rPr>
                <w:rFonts w:ascii="Arial" w:hAnsi="Arial" w:cs="Arial"/>
                <w:color w:val="000000"/>
                <w:sz w:val="20"/>
                <w:szCs w:val="20"/>
              </w:rPr>
            </w:pPr>
            <w:r>
              <w:rPr>
                <w:rFonts w:ascii="Arial" w:hAnsi="Arial"/>
                <w:color w:val="000000"/>
                <w:sz w:val="20"/>
                <w:szCs w:val="20"/>
              </w:rPr>
              <w:t>City</w:t>
            </w:r>
          </w:p>
        </w:tc>
        <w:tc>
          <w:tcPr>
            <w:tcW w:w="832" w:type="dxa"/>
            <w:shd w:val="clear" w:color="auto" w:fill="auto"/>
            <w:vAlign w:val="center"/>
          </w:tcPr>
          <w:p w14:paraId="6C7FA4A3" w14:textId="68A5C8C5" w:rsidR="00276FB2" w:rsidRPr="006C77F1" w:rsidRDefault="00A14078" w:rsidP="004D3D75">
            <w:pPr>
              <w:spacing w:after="0"/>
              <w:jc w:val="right"/>
              <w:rPr>
                <w:rFonts w:ascii="Arial" w:hAnsi="Arial" w:cs="Arial"/>
                <w:color w:val="000000"/>
                <w:sz w:val="20"/>
                <w:szCs w:val="20"/>
              </w:rPr>
            </w:pPr>
            <w:r>
              <w:rPr>
                <w:rFonts w:ascii="Arial" w:hAnsi="Arial"/>
                <w:color w:val="000000"/>
                <w:sz w:val="20"/>
                <w:szCs w:val="20"/>
              </w:rPr>
              <w:t xml:space="preserve">30,800 </w:t>
            </w:r>
          </w:p>
        </w:tc>
      </w:tr>
      <w:tr w:rsidR="00A14078" w:rsidRPr="006E2677" w14:paraId="155379B5" w14:textId="77777777" w:rsidTr="0092297D">
        <w:trPr>
          <w:trHeight w:val="567"/>
          <w:jc w:val="center"/>
        </w:trPr>
        <w:tc>
          <w:tcPr>
            <w:tcW w:w="2405" w:type="dxa"/>
            <w:shd w:val="clear" w:color="auto" w:fill="auto"/>
            <w:vAlign w:val="center"/>
          </w:tcPr>
          <w:p w14:paraId="49978C96" w14:textId="5EA77D20" w:rsidR="00A14078" w:rsidRPr="006C77F1" w:rsidRDefault="00A14078" w:rsidP="00A14078">
            <w:pPr>
              <w:spacing w:before="60" w:after="60"/>
              <w:rPr>
                <w:rFonts w:ascii="Arial" w:hAnsi="Arial" w:cs="Arial"/>
                <w:color w:val="000000"/>
                <w:sz w:val="20"/>
                <w:szCs w:val="20"/>
              </w:rPr>
            </w:pPr>
            <w:r>
              <w:rPr>
                <w:rFonts w:ascii="Arial" w:hAnsi="Arial"/>
                <w:sz w:val="20"/>
                <w:szCs w:val="20"/>
              </w:rPr>
              <w:t>VTG</w:t>
            </w:r>
          </w:p>
        </w:tc>
        <w:tc>
          <w:tcPr>
            <w:tcW w:w="2410" w:type="dxa"/>
            <w:shd w:val="clear" w:color="auto" w:fill="auto"/>
            <w:vAlign w:val="center"/>
          </w:tcPr>
          <w:p w14:paraId="55F93B6B" w14:textId="142E7DDC" w:rsidR="00A14078" w:rsidRPr="0027363B" w:rsidRDefault="00A14078" w:rsidP="00A14078">
            <w:pPr>
              <w:spacing w:after="0"/>
              <w:rPr>
                <w:rFonts w:ascii="Arial" w:hAnsi="Arial" w:cs="Arial"/>
                <w:color w:val="000000"/>
                <w:sz w:val="20"/>
                <w:szCs w:val="20"/>
              </w:rPr>
            </w:pPr>
            <w:r>
              <w:rPr>
                <w:rFonts w:ascii="Arial" w:hAnsi="Arial"/>
                <w:color w:val="000000"/>
                <w:sz w:val="20"/>
                <w:szCs w:val="20"/>
              </w:rPr>
              <w:t>“Green Innovation Lab”</w:t>
            </w:r>
          </w:p>
        </w:tc>
        <w:tc>
          <w:tcPr>
            <w:tcW w:w="2693" w:type="dxa"/>
            <w:shd w:val="clear" w:color="auto" w:fill="auto"/>
            <w:vAlign w:val="center"/>
          </w:tcPr>
          <w:p w14:paraId="55696B69" w14:textId="59B96D05" w:rsidR="00A14078" w:rsidRPr="00A14078" w:rsidRDefault="00A14078" w:rsidP="00A14078">
            <w:pPr>
              <w:spacing w:before="60" w:after="60"/>
              <w:rPr>
                <w:rFonts w:ascii="Arial" w:hAnsi="Arial" w:cs="Arial"/>
                <w:sz w:val="20"/>
                <w:szCs w:val="20"/>
              </w:rPr>
            </w:pPr>
            <w:proofErr w:type="spellStart"/>
            <w:r>
              <w:rPr>
                <w:rFonts w:ascii="Arial" w:hAnsi="Arial"/>
                <w:color w:val="000000"/>
                <w:sz w:val="20"/>
                <w:szCs w:val="20"/>
              </w:rPr>
              <w:t>Versmannstrasse</w:t>
            </w:r>
            <w:proofErr w:type="spellEnd"/>
            <w:r>
              <w:rPr>
                <w:rFonts w:ascii="Arial" w:hAnsi="Arial"/>
                <w:color w:val="000000"/>
                <w:sz w:val="20"/>
                <w:szCs w:val="20"/>
              </w:rPr>
              <w:t>, “</w:t>
            </w:r>
            <w:proofErr w:type="spellStart"/>
            <w:r>
              <w:rPr>
                <w:rFonts w:ascii="Arial" w:hAnsi="Arial"/>
                <w:color w:val="000000"/>
                <w:sz w:val="20"/>
                <w:szCs w:val="20"/>
              </w:rPr>
              <w:t>Elbbrückenquartier</w:t>
            </w:r>
            <w:proofErr w:type="spellEnd"/>
            <w:r>
              <w:rPr>
                <w:rFonts w:ascii="Arial" w:hAnsi="Arial"/>
                <w:color w:val="000000"/>
                <w:sz w:val="20"/>
                <w:szCs w:val="20"/>
              </w:rPr>
              <w:t>”</w:t>
            </w:r>
          </w:p>
        </w:tc>
        <w:tc>
          <w:tcPr>
            <w:tcW w:w="1294" w:type="dxa"/>
            <w:shd w:val="clear" w:color="auto" w:fill="auto"/>
            <w:vAlign w:val="center"/>
          </w:tcPr>
          <w:p w14:paraId="484A786E" w14:textId="204C1827" w:rsidR="00A14078" w:rsidRPr="006C77F1" w:rsidRDefault="00A14078" w:rsidP="00A14078">
            <w:pPr>
              <w:spacing w:after="0"/>
              <w:rPr>
                <w:rFonts w:ascii="Arial" w:hAnsi="Arial" w:cs="Arial"/>
                <w:color w:val="000000"/>
                <w:sz w:val="20"/>
                <w:szCs w:val="20"/>
              </w:rPr>
            </w:pPr>
            <w:r>
              <w:rPr>
                <w:rFonts w:ascii="Arial" w:hAnsi="Arial"/>
                <w:color w:val="000000"/>
                <w:sz w:val="20"/>
                <w:szCs w:val="20"/>
              </w:rPr>
              <w:t>HafenCity</w:t>
            </w:r>
          </w:p>
        </w:tc>
        <w:tc>
          <w:tcPr>
            <w:tcW w:w="832" w:type="dxa"/>
            <w:shd w:val="clear" w:color="auto" w:fill="auto"/>
            <w:vAlign w:val="center"/>
          </w:tcPr>
          <w:p w14:paraId="6BFAF344" w14:textId="245992D6" w:rsidR="00A14078" w:rsidRPr="006C77F1" w:rsidRDefault="00A14078" w:rsidP="004D3D75">
            <w:pPr>
              <w:spacing w:before="60" w:after="60"/>
              <w:jc w:val="right"/>
              <w:rPr>
                <w:rFonts w:ascii="Arial" w:hAnsi="Arial" w:cs="Arial"/>
                <w:color w:val="000000"/>
                <w:sz w:val="20"/>
                <w:szCs w:val="20"/>
              </w:rPr>
            </w:pPr>
            <w:r>
              <w:rPr>
                <w:rFonts w:ascii="Arial" w:hAnsi="Arial"/>
                <w:color w:val="000000"/>
                <w:sz w:val="20"/>
                <w:szCs w:val="20"/>
              </w:rPr>
              <w:t xml:space="preserve">11,500 </w:t>
            </w:r>
          </w:p>
        </w:tc>
      </w:tr>
      <w:tr w:rsidR="006C77F1" w:rsidRPr="0017364E" w14:paraId="10468498" w14:textId="77777777" w:rsidTr="0092297D">
        <w:trPr>
          <w:trHeight w:val="567"/>
          <w:jc w:val="center"/>
        </w:trPr>
        <w:tc>
          <w:tcPr>
            <w:tcW w:w="2405" w:type="dxa"/>
            <w:shd w:val="clear" w:color="auto" w:fill="auto"/>
            <w:vAlign w:val="center"/>
          </w:tcPr>
          <w:p w14:paraId="3E70CDED" w14:textId="3641FFEF" w:rsidR="00276FB2" w:rsidRPr="006C77F1" w:rsidRDefault="00423E19" w:rsidP="00423E19">
            <w:pPr>
              <w:spacing w:before="60" w:after="60"/>
              <w:rPr>
                <w:rFonts w:ascii="Arial" w:hAnsi="Arial" w:cs="Arial"/>
                <w:color w:val="000000"/>
                <w:sz w:val="20"/>
                <w:szCs w:val="20"/>
              </w:rPr>
            </w:pPr>
            <w:proofErr w:type="spellStart"/>
            <w:r>
              <w:rPr>
                <w:rFonts w:ascii="Arial" w:hAnsi="Arial"/>
                <w:sz w:val="20"/>
                <w:szCs w:val="20"/>
              </w:rPr>
              <w:t>Kasse.Hamburg</w:t>
            </w:r>
            <w:proofErr w:type="spellEnd"/>
          </w:p>
        </w:tc>
        <w:tc>
          <w:tcPr>
            <w:tcW w:w="2410" w:type="dxa"/>
            <w:shd w:val="clear" w:color="auto" w:fill="auto"/>
            <w:vAlign w:val="center"/>
          </w:tcPr>
          <w:p w14:paraId="0898C748" w14:textId="5E1DCFB6" w:rsidR="00276FB2" w:rsidRPr="006C77F1" w:rsidRDefault="000E3623" w:rsidP="00045697">
            <w:pPr>
              <w:spacing w:after="0"/>
              <w:rPr>
                <w:rFonts w:ascii="Arial" w:hAnsi="Arial" w:cs="Arial"/>
                <w:color w:val="000000"/>
                <w:sz w:val="20"/>
                <w:szCs w:val="20"/>
              </w:rPr>
            </w:pPr>
            <w:r>
              <w:rPr>
                <w:rFonts w:ascii="Arial" w:hAnsi="Arial"/>
                <w:sz w:val="20"/>
                <w:szCs w:val="20"/>
              </w:rPr>
              <w:t>Existing building</w:t>
            </w:r>
          </w:p>
        </w:tc>
        <w:tc>
          <w:tcPr>
            <w:tcW w:w="2693" w:type="dxa"/>
            <w:shd w:val="clear" w:color="auto" w:fill="auto"/>
            <w:vAlign w:val="center"/>
          </w:tcPr>
          <w:p w14:paraId="6821C1E3" w14:textId="11105D4A" w:rsidR="00276FB2" w:rsidRPr="006C77F1" w:rsidRDefault="00423E19" w:rsidP="00045697">
            <w:pPr>
              <w:spacing w:before="60" w:after="60"/>
              <w:rPr>
                <w:rFonts w:ascii="Arial" w:hAnsi="Arial" w:cs="Arial"/>
                <w:sz w:val="20"/>
                <w:szCs w:val="20"/>
              </w:rPr>
            </w:pPr>
            <w:proofErr w:type="spellStart"/>
            <w:r>
              <w:rPr>
                <w:rFonts w:ascii="Arial" w:hAnsi="Arial"/>
                <w:color w:val="000000"/>
                <w:sz w:val="20"/>
                <w:szCs w:val="20"/>
              </w:rPr>
              <w:t>Gasstrasse</w:t>
            </w:r>
            <w:proofErr w:type="spellEnd"/>
            <w:r>
              <w:rPr>
                <w:rFonts w:ascii="Arial" w:hAnsi="Arial"/>
                <w:color w:val="000000"/>
                <w:sz w:val="20"/>
                <w:szCs w:val="20"/>
              </w:rPr>
              <w:t xml:space="preserve"> 27</w:t>
            </w:r>
          </w:p>
        </w:tc>
        <w:tc>
          <w:tcPr>
            <w:tcW w:w="1294" w:type="dxa"/>
            <w:shd w:val="clear" w:color="auto" w:fill="auto"/>
            <w:vAlign w:val="center"/>
          </w:tcPr>
          <w:p w14:paraId="72180C29" w14:textId="3E4033BD" w:rsidR="00276FB2" w:rsidRPr="006C77F1" w:rsidRDefault="00423E19" w:rsidP="0027363B">
            <w:pPr>
              <w:spacing w:after="0"/>
              <w:rPr>
                <w:rFonts w:ascii="Arial" w:hAnsi="Arial" w:cs="Arial"/>
                <w:color w:val="000000"/>
                <w:sz w:val="20"/>
                <w:szCs w:val="20"/>
              </w:rPr>
            </w:pPr>
            <w:proofErr w:type="spellStart"/>
            <w:r>
              <w:rPr>
                <w:rFonts w:ascii="Arial" w:hAnsi="Arial"/>
                <w:color w:val="000000"/>
                <w:sz w:val="20"/>
                <w:szCs w:val="20"/>
              </w:rPr>
              <w:t>Bahrenfeld</w:t>
            </w:r>
            <w:proofErr w:type="spellEnd"/>
          </w:p>
        </w:tc>
        <w:tc>
          <w:tcPr>
            <w:tcW w:w="832" w:type="dxa"/>
            <w:shd w:val="clear" w:color="auto" w:fill="auto"/>
            <w:vAlign w:val="center"/>
          </w:tcPr>
          <w:p w14:paraId="1F9773E9" w14:textId="47E88090" w:rsidR="00276FB2" w:rsidRPr="0027363B" w:rsidRDefault="00423E19" w:rsidP="004D3D75">
            <w:pPr>
              <w:spacing w:before="60" w:after="60"/>
              <w:jc w:val="right"/>
              <w:rPr>
                <w:rFonts w:ascii="Arial" w:hAnsi="Arial" w:cs="Arial"/>
                <w:color w:val="000000"/>
                <w:sz w:val="20"/>
                <w:szCs w:val="20"/>
              </w:rPr>
            </w:pPr>
            <w:r>
              <w:rPr>
                <w:rFonts w:ascii="Arial" w:hAnsi="Arial"/>
                <w:color w:val="000000"/>
                <w:sz w:val="20"/>
                <w:szCs w:val="20"/>
              </w:rPr>
              <w:t>8,900</w:t>
            </w:r>
          </w:p>
        </w:tc>
      </w:tr>
      <w:tr w:rsidR="004D3D75" w:rsidRPr="0017364E" w14:paraId="234EA95A" w14:textId="77777777" w:rsidTr="00DA196C">
        <w:trPr>
          <w:trHeight w:val="567"/>
          <w:jc w:val="center"/>
        </w:trPr>
        <w:tc>
          <w:tcPr>
            <w:tcW w:w="2405" w:type="dxa"/>
            <w:shd w:val="clear" w:color="auto" w:fill="auto"/>
            <w:vAlign w:val="center"/>
          </w:tcPr>
          <w:p w14:paraId="7C59719D" w14:textId="0EF32687" w:rsidR="004D3D75" w:rsidRPr="006C77F1" w:rsidRDefault="004D3D75" w:rsidP="004D3D75">
            <w:pPr>
              <w:spacing w:after="0"/>
              <w:rPr>
                <w:rFonts w:ascii="Arial" w:hAnsi="Arial" w:cs="Arial"/>
                <w:color w:val="000000"/>
                <w:sz w:val="20"/>
                <w:szCs w:val="20"/>
              </w:rPr>
            </w:pPr>
            <w:proofErr w:type="spellStart"/>
            <w:r>
              <w:rPr>
                <w:rFonts w:ascii="Arial" w:hAnsi="Arial"/>
                <w:color w:val="000000"/>
                <w:sz w:val="20"/>
                <w:szCs w:val="20"/>
              </w:rPr>
              <w:t>Reemtsma</w:t>
            </w:r>
            <w:proofErr w:type="spellEnd"/>
          </w:p>
        </w:tc>
        <w:tc>
          <w:tcPr>
            <w:tcW w:w="2410" w:type="dxa"/>
            <w:shd w:val="clear" w:color="auto" w:fill="auto"/>
            <w:vAlign w:val="center"/>
          </w:tcPr>
          <w:p w14:paraId="0E688F4C" w14:textId="7644CAC0" w:rsidR="004D3D75" w:rsidRPr="006C77F1" w:rsidRDefault="004D3D75" w:rsidP="004D3D75">
            <w:pPr>
              <w:spacing w:after="0"/>
              <w:rPr>
                <w:rFonts w:ascii="Arial" w:hAnsi="Arial" w:cs="Arial"/>
                <w:color w:val="000000"/>
                <w:sz w:val="20"/>
                <w:szCs w:val="20"/>
              </w:rPr>
            </w:pPr>
            <w:r>
              <w:rPr>
                <w:rFonts w:ascii="Arial" w:hAnsi="Arial"/>
                <w:color w:val="000000"/>
                <w:sz w:val="20"/>
                <w:szCs w:val="20"/>
              </w:rPr>
              <w:t>“</w:t>
            </w:r>
            <w:proofErr w:type="spellStart"/>
            <w:r>
              <w:rPr>
                <w:rFonts w:ascii="Arial" w:hAnsi="Arial"/>
                <w:color w:val="000000"/>
                <w:sz w:val="20"/>
                <w:szCs w:val="20"/>
              </w:rPr>
              <w:t>Marzipanfabrik</w:t>
            </w:r>
            <w:proofErr w:type="spellEnd"/>
            <w:r>
              <w:rPr>
                <w:rFonts w:ascii="Arial" w:hAnsi="Arial"/>
                <w:color w:val="000000"/>
                <w:sz w:val="20"/>
                <w:szCs w:val="20"/>
              </w:rPr>
              <w:t>”</w:t>
            </w:r>
          </w:p>
        </w:tc>
        <w:tc>
          <w:tcPr>
            <w:tcW w:w="2693" w:type="dxa"/>
            <w:shd w:val="clear" w:color="auto" w:fill="auto"/>
            <w:vAlign w:val="center"/>
          </w:tcPr>
          <w:p w14:paraId="5C4E0271" w14:textId="04315676" w:rsidR="004D3D75" w:rsidRPr="006C77F1" w:rsidRDefault="004D3D75" w:rsidP="004D3D75">
            <w:pPr>
              <w:spacing w:before="60" w:after="60"/>
              <w:rPr>
                <w:rFonts w:ascii="Arial" w:hAnsi="Arial" w:cs="Arial"/>
                <w:sz w:val="20"/>
                <w:szCs w:val="20"/>
              </w:rPr>
            </w:pPr>
            <w:r>
              <w:rPr>
                <w:rFonts w:ascii="Arial" w:hAnsi="Arial"/>
                <w:color w:val="000000"/>
                <w:sz w:val="20"/>
                <w:szCs w:val="20"/>
              </w:rPr>
              <w:t>Jürgen-</w:t>
            </w:r>
            <w:proofErr w:type="spellStart"/>
            <w:r>
              <w:rPr>
                <w:rFonts w:ascii="Arial" w:hAnsi="Arial"/>
                <w:color w:val="000000"/>
                <w:sz w:val="20"/>
                <w:szCs w:val="20"/>
              </w:rPr>
              <w:t>Töpfer</w:t>
            </w:r>
            <w:proofErr w:type="spellEnd"/>
            <w:r>
              <w:rPr>
                <w:rFonts w:ascii="Arial" w:hAnsi="Arial"/>
                <w:color w:val="000000"/>
                <w:sz w:val="20"/>
                <w:szCs w:val="20"/>
              </w:rPr>
              <w:t>-</w:t>
            </w:r>
            <w:proofErr w:type="spellStart"/>
            <w:r>
              <w:rPr>
                <w:rFonts w:ascii="Arial" w:hAnsi="Arial"/>
                <w:color w:val="000000"/>
                <w:sz w:val="20"/>
                <w:szCs w:val="20"/>
              </w:rPr>
              <w:t>Strasse</w:t>
            </w:r>
            <w:proofErr w:type="spellEnd"/>
            <w:r>
              <w:rPr>
                <w:rFonts w:ascii="Arial" w:hAnsi="Arial"/>
                <w:color w:val="000000"/>
                <w:sz w:val="20"/>
                <w:szCs w:val="20"/>
              </w:rPr>
              <w:t xml:space="preserve"> 50</w:t>
            </w:r>
          </w:p>
        </w:tc>
        <w:tc>
          <w:tcPr>
            <w:tcW w:w="1294" w:type="dxa"/>
            <w:shd w:val="clear" w:color="auto" w:fill="auto"/>
            <w:vAlign w:val="center"/>
          </w:tcPr>
          <w:p w14:paraId="37C08CDB" w14:textId="5B3D26DE" w:rsidR="004D3D75" w:rsidRPr="006C77F1" w:rsidRDefault="004D3D75" w:rsidP="004D3D75">
            <w:pPr>
              <w:spacing w:before="60" w:after="60"/>
              <w:rPr>
                <w:rFonts w:ascii="Arial" w:hAnsi="Arial" w:cs="Arial"/>
                <w:color w:val="000000"/>
                <w:sz w:val="20"/>
                <w:szCs w:val="20"/>
              </w:rPr>
            </w:pPr>
            <w:r>
              <w:rPr>
                <w:rFonts w:ascii="Arial" w:hAnsi="Arial"/>
                <w:color w:val="000000"/>
                <w:sz w:val="20"/>
                <w:szCs w:val="20"/>
              </w:rPr>
              <w:t>Altona</w:t>
            </w:r>
          </w:p>
        </w:tc>
        <w:tc>
          <w:tcPr>
            <w:tcW w:w="832" w:type="dxa"/>
            <w:shd w:val="clear" w:color="auto" w:fill="auto"/>
            <w:vAlign w:val="center"/>
          </w:tcPr>
          <w:p w14:paraId="70E8854C" w14:textId="79BAD729" w:rsidR="004D3D75" w:rsidRPr="006C77F1" w:rsidRDefault="004D3D75" w:rsidP="004D3D75">
            <w:pPr>
              <w:spacing w:before="60" w:after="60"/>
              <w:jc w:val="right"/>
              <w:rPr>
                <w:rFonts w:ascii="Arial" w:hAnsi="Arial" w:cs="Arial"/>
                <w:color w:val="000000"/>
                <w:sz w:val="20"/>
                <w:szCs w:val="20"/>
              </w:rPr>
            </w:pPr>
            <w:r>
              <w:rPr>
                <w:rFonts w:ascii="Arial" w:hAnsi="Arial"/>
                <w:color w:val="000000"/>
                <w:sz w:val="20"/>
                <w:szCs w:val="20"/>
              </w:rPr>
              <w:t>8,100</w:t>
            </w:r>
          </w:p>
        </w:tc>
      </w:tr>
    </w:tbl>
    <w:p w14:paraId="5AFC598B" w14:textId="77777777" w:rsidR="001533C6" w:rsidRDefault="001533C6" w:rsidP="001533C6">
      <w:pPr>
        <w:widowControl w:val="0"/>
        <w:spacing w:after="0"/>
        <w:rPr>
          <w:rFonts w:ascii="Arial" w:hAnsi="Arial" w:cs="Arial"/>
          <w:sz w:val="16"/>
          <w:szCs w:val="16"/>
        </w:rPr>
      </w:pPr>
    </w:p>
    <w:p w14:paraId="1E03FE05" w14:textId="3B93B317" w:rsidR="001533C6" w:rsidRDefault="00CD4CE5" w:rsidP="001533C6">
      <w:pPr>
        <w:spacing w:after="0" w:line="360" w:lineRule="auto"/>
        <w:rPr>
          <w:rFonts w:ascii="Arial" w:eastAsia="Arial" w:hAnsi="Arial" w:cs="Arial"/>
          <w:color w:val="000000" w:themeColor="text1"/>
          <w:sz w:val="20"/>
          <w:szCs w:val="20"/>
        </w:rPr>
      </w:pPr>
      <w:r>
        <w:rPr>
          <w:rFonts w:ascii="Arial" w:hAnsi="Arial"/>
          <w:sz w:val="16"/>
          <w:szCs w:val="16"/>
        </w:rPr>
        <w:t>Transactions occurring in the quarter covered by this report are highlighted.</w:t>
      </w:r>
    </w:p>
    <w:p w14:paraId="6344DC72" w14:textId="77777777" w:rsidR="00CD4CE5" w:rsidRDefault="00CD4CE5" w:rsidP="001533C6">
      <w:pPr>
        <w:spacing w:after="0" w:line="360" w:lineRule="auto"/>
        <w:rPr>
          <w:rFonts w:ascii="Arial" w:eastAsia="Arial" w:hAnsi="Arial" w:cs="Arial"/>
          <w:color w:val="000000" w:themeColor="text1"/>
          <w:sz w:val="20"/>
          <w:szCs w:val="20"/>
        </w:rPr>
      </w:pPr>
    </w:p>
    <w:p w14:paraId="73144B28" w14:textId="3239D63E" w:rsidR="001533C6" w:rsidRPr="00A3554C" w:rsidRDefault="001533C6" w:rsidP="001533C6">
      <w:pPr>
        <w:spacing w:after="0" w:line="360" w:lineRule="auto"/>
        <w:rPr>
          <w:rFonts w:ascii="Arial" w:hAnsi="Arial" w:cs="Arial"/>
          <w:sz w:val="20"/>
          <w:szCs w:val="20"/>
        </w:rPr>
      </w:pPr>
      <w:r>
        <w:rPr>
          <w:rFonts w:ascii="Arial" w:hAnsi="Arial"/>
          <w:color w:val="000000" w:themeColor="text1"/>
          <w:sz w:val="20"/>
          <w:szCs w:val="20"/>
        </w:rPr>
        <w:t>The</w:t>
      </w:r>
      <w:hyperlink r:id="rId9" w:history="1">
        <w:r w:rsidR="00E0111D" w:rsidRPr="00E0111D">
          <w:rPr>
            <w:rStyle w:val="Hyperlink"/>
            <w:rFonts w:ascii="Arial" w:hAnsi="Arial"/>
            <w:sz w:val="20"/>
            <w:szCs w:val="20"/>
            <w:u w:val="none"/>
          </w:rPr>
          <w:t xml:space="preserve"> </w:t>
        </w:r>
        <w:r w:rsidR="00E0111D">
          <w:rPr>
            <w:rStyle w:val="Hyperlink"/>
            <w:rFonts w:ascii="Arial" w:hAnsi="Arial"/>
            <w:sz w:val="20"/>
            <w:szCs w:val="20"/>
          </w:rPr>
          <w:t>M</w:t>
        </w:r>
        <w:r>
          <w:rPr>
            <w:rStyle w:val="Hyperlink"/>
            <w:rFonts w:ascii="Arial" w:hAnsi="Arial"/>
            <w:sz w:val="20"/>
            <w:szCs w:val="20"/>
          </w:rPr>
          <w:t>arket survey office letting in Hamburg 2022/Q4</w:t>
        </w:r>
      </w:hyperlink>
      <w:r>
        <w:rPr>
          <w:rFonts w:ascii="Arial" w:hAnsi="Arial"/>
          <w:color w:val="000000" w:themeColor="text1"/>
          <w:sz w:val="20"/>
          <w:szCs w:val="20"/>
        </w:rPr>
        <w:t xml:space="preserve"> will soon be available to download from our website.</w:t>
      </w:r>
    </w:p>
    <w:p w14:paraId="351DF6B0" w14:textId="77777777" w:rsidR="00EB2E4B" w:rsidRDefault="00EB2E4B" w:rsidP="00EB2E4B">
      <w:pPr>
        <w:pStyle w:val="Kommentartext"/>
        <w:spacing w:after="0" w:line="360" w:lineRule="auto"/>
        <w:rPr>
          <w:rFonts w:ascii="Arial" w:hAnsi="Arial" w:cs="Arial"/>
        </w:rPr>
      </w:pPr>
    </w:p>
    <w:p w14:paraId="598D9D52" w14:textId="77777777" w:rsidR="00EB2E4B" w:rsidRPr="0090748B" w:rsidRDefault="00EB2E4B" w:rsidP="00EB2E4B">
      <w:pPr>
        <w:spacing w:after="0" w:line="360" w:lineRule="auto"/>
        <w:rPr>
          <w:rFonts w:ascii="Arial" w:hAnsi="Arial" w:cs="Arial"/>
          <w:b/>
          <w:sz w:val="16"/>
          <w:szCs w:val="16"/>
        </w:rPr>
      </w:pPr>
      <w:r>
        <w:rPr>
          <w:rFonts w:ascii="Arial" w:hAnsi="Arial"/>
          <w:b/>
          <w:sz w:val="16"/>
          <w:szCs w:val="16"/>
        </w:rPr>
        <w:t>About Grossmann &amp; Berger</w:t>
      </w:r>
    </w:p>
    <w:p w14:paraId="28D93565" w14:textId="4A5BA44B" w:rsidR="00EB2E4B" w:rsidRPr="00521AA1" w:rsidRDefault="001143CF" w:rsidP="00EB2E4B">
      <w:pPr>
        <w:spacing w:after="0" w:line="360" w:lineRule="auto"/>
        <w:rPr>
          <w:rFonts w:ascii="Arial" w:hAnsi="Arial" w:cs="Arial"/>
          <w:vanish/>
          <w:sz w:val="16"/>
          <w:szCs w:val="16"/>
          <w:specVanish/>
        </w:rPr>
      </w:pPr>
      <w:hyperlink r:id="rId10" w:history="1">
        <w:r w:rsidR="00EB2E4B">
          <w:rPr>
            <w:rStyle w:val="Hyperlink"/>
            <w:rFonts w:ascii="Arial" w:hAnsi="Arial"/>
            <w:snapToGrid w:val="0"/>
            <w:sz w:val="16"/>
            <w:szCs w:val="16"/>
          </w:rPr>
          <w:t>Grossmann &amp; Berger GmbH</w:t>
        </w:r>
      </w:hyperlink>
      <w:r w:rsidR="00EB2E4B">
        <w:rPr>
          <w:rFonts w:ascii="Arial" w:hAnsi="Arial"/>
          <w:snapToGrid w:val="0"/>
          <w:sz w:val="16"/>
          <w:szCs w:val="16"/>
        </w:rPr>
        <w:t xml:space="preserve"> is one of the leading service providers in the business of selling and letting commercial and residential properties in North Germany. Including its main office in Hamburg, the Company has 22 regional offices. This allows Grossmann &amp; Berger to cover the entire North German market. In May 2021 the company was augmented by </w:t>
      </w:r>
      <w:hyperlink r:id="rId11" w:history="1">
        <w:r w:rsidR="00EB2E4B">
          <w:rPr>
            <w:rStyle w:val="Hyperlink"/>
            <w:rFonts w:ascii="Arial" w:hAnsi="Arial"/>
            <w:snapToGrid w:val="0"/>
            <w:sz w:val="16"/>
            <w:szCs w:val="16"/>
          </w:rPr>
          <w:t>E &amp; G Real Estate</w:t>
        </w:r>
      </w:hyperlink>
      <w:r w:rsidR="00EB2E4B">
        <w:rPr>
          <w:rFonts w:ascii="Arial" w:hAnsi="Arial"/>
          <w:snapToGrid w:val="0"/>
          <w:sz w:val="16"/>
          <w:szCs w:val="16"/>
        </w:rPr>
        <w:t xml:space="preserve"> and</w:t>
      </w:r>
      <w:r w:rsidR="00EB2E4B">
        <w:rPr>
          <w:rFonts w:ascii="Arial" w:hAnsi="Arial"/>
          <w:snapToGrid w:val="0"/>
          <w:sz w:val="16"/>
          <w:szCs w:val="16"/>
        </w:rPr>
        <w:br/>
      </w:r>
      <w:hyperlink r:id="rId12" w:history="1">
        <w:r w:rsidR="00EB2E4B">
          <w:rPr>
            <w:rStyle w:val="Hyperlink"/>
            <w:rFonts w:ascii="Arial" w:hAnsi="Arial"/>
            <w:snapToGrid w:val="0"/>
            <w:sz w:val="16"/>
            <w:szCs w:val="16"/>
          </w:rPr>
          <w:t xml:space="preserve">E &amp; G Private </w:t>
        </w:r>
        <w:proofErr w:type="spellStart"/>
        <w:r w:rsidR="00EB2E4B">
          <w:rPr>
            <w:rStyle w:val="Hyperlink"/>
            <w:rFonts w:ascii="Arial" w:hAnsi="Arial"/>
            <w:snapToGrid w:val="0"/>
            <w:sz w:val="16"/>
            <w:szCs w:val="16"/>
          </w:rPr>
          <w:t>Immobilien</w:t>
        </w:r>
        <w:proofErr w:type="spellEnd"/>
      </w:hyperlink>
      <w:r w:rsidR="00EB2E4B">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240 employees provide the full range of relevant services. They also benefit from the company’s more than 85 years standing in the industry. </w:t>
      </w:r>
      <w:r w:rsidR="00EB2E4B">
        <w:rPr>
          <w:rFonts w:ascii="Arial" w:hAnsi="Arial"/>
          <w:sz w:val="16"/>
          <w:szCs w:val="16"/>
        </w:rPr>
        <w:t xml:space="preserve">Grossmann &amp; Berger belongs to the HASPA Group and is a founding member of the national commercial real estate network </w:t>
      </w:r>
      <w:hyperlink r:id="rId13" w:history="1">
        <w:r w:rsidR="00EB2E4B">
          <w:rPr>
            <w:rStyle w:val="Hyperlink"/>
            <w:rFonts w:ascii="Arial" w:hAnsi="Arial"/>
            <w:sz w:val="16"/>
            <w:szCs w:val="16"/>
          </w:rPr>
          <w:t>German Property Partners</w:t>
        </w:r>
      </w:hyperlink>
      <w:r w:rsidR="00EB2E4B">
        <w:rPr>
          <w:rFonts w:ascii="Arial" w:hAnsi="Arial"/>
          <w:sz w:val="16"/>
          <w:szCs w:val="16"/>
        </w:rPr>
        <w:t xml:space="preserve"> (GPP).</w:t>
      </w:r>
    </w:p>
    <w:p w14:paraId="2FE23F08" w14:textId="77777777" w:rsidR="00EB2E4B" w:rsidRPr="00521AA1" w:rsidRDefault="00EB2E4B" w:rsidP="00EB2E4B">
      <w:pPr>
        <w:spacing w:after="0" w:line="360" w:lineRule="auto"/>
        <w:rPr>
          <w:rFonts w:ascii="Arial" w:hAnsi="Arial" w:cs="Arial"/>
          <w:sz w:val="16"/>
          <w:szCs w:val="16"/>
        </w:rPr>
      </w:pPr>
    </w:p>
    <w:p w14:paraId="1598D97F" w14:textId="77777777" w:rsidR="00EB2E4B" w:rsidRDefault="00EB2E4B" w:rsidP="00EB2E4B">
      <w:pPr>
        <w:spacing w:after="0" w:line="360" w:lineRule="auto"/>
        <w:rPr>
          <w:rFonts w:ascii="Arial" w:hAnsi="Arial" w:cs="Arial"/>
          <w:sz w:val="16"/>
          <w:szCs w:val="16"/>
        </w:rPr>
      </w:pPr>
    </w:p>
    <w:p w14:paraId="1E85C204" w14:textId="20F55FE6" w:rsidR="00503D8C" w:rsidRPr="00EB2E4B" w:rsidRDefault="00EB2E4B" w:rsidP="00EB2E4B">
      <w:pPr>
        <w:spacing w:after="0" w:line="360" w:lineRule="auto"/>
        <w:rPr>
          <w:rFonts w:ascii="Arial" w:hAnsi="Arial" w:cs="Arial"/>
          <w:bCs/>
          <w:color w:val="000000" w:themeColor="text1"/>
          <w:sz w:val="20"/>
          <w:szCs w:val="20"/>
        </w:rPr>
      </w:pPr>
      <w:r>
        <w:rPr>
          <w:rFonts w:ascii="Arial" w:hAnsi="Arial"/>
          <w:sz w:val="16"/>
          <w:szCs w:val="16"/>
        </w:rPr>
        <w:lastRenderedPageBreak/>
        <w:t xml:space="preserve">Please consult our website for Grossmann &amp; Berger’s </w:t>
      </w:r>
      <w:hyperlink r:id="rId14" w:history="1">
        <w:r>
          <w:rPr>
            <w:rStyle w:val="Hyperlink"/>
            <w:rFonts w:ascii="Arial" w:hAnsi="Arial"/>
            <w:sz w:val="16"/>
            <w:szCs w:val="16"/>
          </w:rPr>
          <w:t>data privacy policy</w:t>
        </w:r>
      </w:hyperlink>
      <w:r>
        <w:rPr>
          <w:rFonts w:ascii="Arial" w:hAnsi="Arial"/>
          <w:sz w:val="16"/>
          <w:szCs w:val="16"/>
        </w:rPr>
        <w:t xml:space="preserve">. Here you will also be able to access our </w:t>
      </w:r>
      <w:hyperlink r:id="rId15" w:history="1">
        <w:r>
          <w:rPr>
            <w:rStyle w:val="Hyperlink"/>
            <w:rFonts w:ascii="Arial" w:hAnsi="Arial"/>
            <w:sz w:val="16"/>
            <w:szCs w:val="16"/>
          </w:rPr>
          <w:t>press kit</w:t>
        </w:r>
      </w:hyperlink>
      <w:r>
        <w:rPr>
          <w:rFonts w:ascii="Arial" w:hAnsi="Arial"/>
          <w:sz w:val="16"/>
          <w:szCs w:val="16"/>
        </w:rPr>
        <w:t xml:space="preserve"> and the associated </w:t>
      </w:r>
      <w:hyperlink r:id="rId16"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7"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bookmarkStart w:id="0" w:name="_GoBack"/>
      <w:bookmarkEnd w:id="0"/>
    </w:p>
    <w:sectPr w:rsidR="00503D8C" w:rsidRPr="00EB2E4B" w:rsidSect="00D83CB7">
      <w:headerReference w:type="default" r:id="rId18"/>
      <w:footerReference w:type="default" r:id="rId19"/>
      <w:headerReference w:type="first" r:id="rId20"/>
      <w:footerReference w:type="first" r:id="rId21"/>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076C2" w14:textId="77777777" w:rsidR="006415DE" w:rsidRDefault="006415DE">
      <w:r>
        <w:separator/>
      </w:r>
    </w:p>
  </w:endnote>
  <w:endnote w:type="continuationSeparator" w:id="0">
    <w:p w14:paraId="7BF34150" w14:textId="77777777" w:rsidR="006415DE" w:rsidRDefault="0064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964F" w14:textId="50599339"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5444D8">
      <w:rPr>
        <w:rFonts w:ascii="Arial" w:hAnsi="Arial"/>
        <w:b/>
        <w:bCs/>
        <w:color w:val="918F90"/>
        <w:sz w:val="18"/>
        <w:szCs w:val="18"/>
        <w:lang w:val="de-DE"/>
      </w:rPr>
      <w:t xml:space="preserve">Grossmann &amp; Berger GmbH </w:t>
    </w:r>
    <w:r w:rsidRPr="005444D8">
      <w:rPr>
        <w:rFonts w:ascii="Arial" w:hAnsi="Arial"/>
        <w:color w:val="918F90"/>
        <w:sz w:val="18"/>
        <w:szCs w:val="18"/>
        <w:lang w:val="de-DE"/>
      </w:rPr>
      <w:t xml:space="preserve">| </w:t>
    </w:r>
    <w:proofErr w:type="spellStart"/>
    <w:r w:rsidRPr="005444D8">
      <w:rPr>
        <w:rFonts w:ascii="Arial" w:hAnsi="Arial"/>
        <w:color w:val="918F90"/>
        <w:sz w:val="18"/>
        <w:szCs w:val="18"/>
        <w:lang w:val="de-DE"/>
      </w:rPr>
      <w:t>Bleichenbrücke</w:t>
    </w:r>
    <w:proofErr w:type="spellEnd"/>
    <w:r w:rsidRPr="005444D8">
      <w:rPr>
        <w:rFonts w:ascii="Arial" w:hAnsi="Arial"/>
        <w:color w:val="918F90"/>
        <w:sz w:val="18"/>
        <w:szCs w:val="18"/>
        <w:lang w:val="de-DE"/>
      </w:rPr>
      <w:t xml:space="preserve"> 9 | 20354 Hamburg | Tel. </w:t>
    </w:r>
    <w:r>
      <w:rPr>
        <w:rFonts w:ascii="Arial" w:hAnsi="Arial"/>
        <w:color w:val="918F90"/>
        <w:sz w:val="18"/>
        <w:szCs w:val="18"/>
      </w:rPr>
      <w:t>+49 (0)40 / 350 80 2-0 | www.grossmann-berger.de</w:t>
    </w:r>
  </w:p>
  <w:p w14:paraId="6B083F2C" w14:textId="32E323B8"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1143CF">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1143CF">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38FA3" w14:textId="77777777" w:rsidR="008C608D" w:rsidRDefault="008C608D">
    <w:pPr>
      <w:pStyle w:val="Fuzeile"/>
    </w:pPr>
    <w:r>
      <w:rPr>
        <w:noProof/>
        <w:lang w:val="de-DE" w:eastAsia="de-DE"/>
      </w:rPr>
      <w:drawing>
        <wp:anchor distT="0" distB="0" distL="0" distR="0" simplePos="0" relativeHeight="251659264" behindDoc="0" locked="0" layoutInCell="0" allowOverlap="1" wp14:anchorId="1F47B225" wp14:editId="1C89EA7E">
          <wp:simplePos x="0" y="0"/>
          <wp:positionH relativeFrom="column">
            <wp:posOffset>-615315</wp:posOffset>
          </wp:positionH>
          <wp:positionV relativeFrom="page">
            <wp:posOffset>9457690</wp:posOffset>
          </wp:positionV>
          <wp:extent cx="7346950" cy="1140460"/>
          <wp:effectExtent l="0" t="0" r="6350" b="2540"/>
          <wp:wrapThrough wrapText="bothSides">
            <wp:wrapPolygon edited="0">
              <wp:start x="0" y="0"/>
              <wp:lineTo x="0" y="21287"/>
              <wp:lineTo x="21563" y="21287"/>
              <wp:lineTo x="21563" y="0"/>
              <wp:lineTo x="0"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40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319AF" w14:textId="77777777" w:rsidR="006415DE" w:rsidRDefault="006415DE">
      <w:r>
        <w:separator/>
      </w:r>
    </w:p>
  </w:footnote>
  <w:footnote w:type="continuationSeparator" w:id="0">
    <w:p w14:paraId="2FDFE2EC" w14:textId="77777777" w:rsidR="006415DE" w:rsidRDefault="00641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29A0F" w14:textId="77777777" w:rsidR="006138CB" w:rsidRPr="009E3ADA" w:rsidRDefault="00E5203C"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73743D6D" wp14:editId="4D656D57">
              <wp:simplePos x="0" y="0"/>
              <wp:positionH relativeFrom="column">
                <wp:posOffset>-83516</wp:posOffset>
              </wp:positionH>
              <wp:positionV relativeFrom="paragraph">
                <wp:posOffset>22225</wp:posOffset>
              </wp:positionV>
              <wp:extent cx="4579620" cy="14039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1403985"/>
                      </a:xfrm>
                      <a:prstGeom prst="rect">
                        <a:avLst/>
                      </a:prstGeom>
                      <a:noFill/>
                      <a:ln w="9525">
                        <a:noFill/>
                        <a:miter lim="800000"/>
                        <a:headEnd/>
                        <a:tailEnd/>
                      </a:ln>
                    </wps:spPr>
                    <wps:txbx>
                      <w:txbxContent>
                        <w:p w14:paraId="71F5AE53" w14:textId="6F10C67C"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743D6D" id="_x0000_t202" coordsize="21600,21600" o:spt="202" path="m,l,21600r21600,l21600,xe">
              <v:stroke joinstyle="miter"/>
              <v:path gradientshapeok="t" o:connecttype="rect"/>
            </v:shapetype>
            <v:shape id="Textfeld 2" o:spid="_x0000_s1026" type="#_x0000_t202" style="position:absolute;left:0;text-align:left;margin-left:-6.6pt;margin-top:1.75pt;width:360.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" filled="f" stroked="f">
              <v:textbox style="mso-fit-shape-to-text:t">
                <w:txbxContent>
                  <w:p w14:paraId="71F5AE53" w14:textId="6F10C67C"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v:textbox>
            </v:shape>
          </w:pict>
        </mc:Fallback>
      </mc:AlternateContent>
    </w:r>
    <w:r>
      <w:rPr>
        <w:rFonts w:ascii="Arial" w:hAnsi="Arial"/>
        <w:color w:val="918F90"/>
        <w:sz w:val="28"/>
        <w:szCs w:val="28"/>
      </w:rPr>
      <w:t>Press release</w:t>
    </w:r>
  </w:p>
  <w:p w14:paraId="2B6D33E7"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5ACE5" w14:textId="77777777" w:rsidR="00D83CB7" w:rsidRDefault="00E5203C"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47208E6D" wp14:editId="4704D40C">
              <wp:simplePos x="0" y="0"/>
              <wp:positionH relativeFrom="column">
                <wp:posOffset>-80341</wp:posOffset>
              </wp:positionH>
              <wp:positionV relativeFrom="paragraph">
                <wp:posOffset>21590</wp:posOffset>
              </wp:positionV>
              <wp:extent cx="4579952"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952" cy="1403985"/>
                      </a:xfrm>
                      <a:prstGeom prst="rect">
                        <a:avLst/>
                      </a:prstGeom>
                      <a:noFill/>
                      <a:ln w="9525">
                        <a:noFill/>
                        <a:miter lim="800000"/>
                        <a:headEnd/>
                        <a:tailEnd/>
                      </a:ln>
                    </wps:spPr>
                    <wps:txbx>
                      <w:txbxContent>
                        <w:p w14:paraId="65C9F499" w14:textId="1F8493AD"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08E6D" id="_x0000_t202" coordsize="21600,21600" o:spt="202" path="m,l,21600r21600,l21600,xe">
              <v:stroke joinstyle="miter"/>
              <v:path gradientshapeok="t" o:connecttype="rect"/>
            </v:shapetype>
            <v:shape id="_x0000_s1027" type="#_x0000_t202" style="position:absolute;left:0;text-align:left;margin-left:-6.35pt;margin-top:1.7pt;width:360.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" filled="f" stroked="f">
              <v:textbox style="mso-fit-shape-to-text:t">
                <w:txbxContent>
                  <w:p w14:paraId="65C9F499" w14:textId="1F8493AD"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 / 350 80 2-993 | b.finke@grossmann-berger.de</w:t>
                    </w:r>
                  </w:p>
                </w:txbxContent>
              </v:textbox>
            </v:shape>
          </w:pict>
        </mc:Fallback>
      </mc:AlternateContent>
    </w:r>
    <w:r>
      <w:rPr>
        <w:rFonts w:ascii="Arial" w:hAnsi="Arial"/>
        <w:color w:val="918F90"/>
        <w:sz w:val="28"/>
        <w:szCs w:val="28"/>
      </w:rPr>
      <w:t>Press release</w:t>
    </w:r>
  </w:p>
  <w:p w14:paraId="6FE6CB11"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0528E8"/>
    <w:multiLevelType w:val="hybridMultilevel"/>
    <w:tmpl w:val="0D90CF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E00B82"/>
    <w:multiLevelType w:val="hybridMultilevel"/>
    <w:tmpl w:val="40A203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442410"/>
    <w:multiLevelType w:val="hybridMultilevel"/>
    <w:tmpl w:val="74541AD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5"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6"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7BD0102"/>
    <w:multiLevelType w:val="hybridMultilevel"/>
    <w:tmpl w:val="8CD674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8"/>
  </w:num>
  <w:num w:numId="14">
    <w:abstractNumId w:val="15"/>
  </w:num>
  <w:num w:numId="15">
    <w:abstractNumId w:val="16"/>
  </w:num>
  <w:num w:numId="16">
    <w:abstractNumId w:val="17"/>
  </w:num>
  <w:num w:numId="17">
    <w:abstractNumId w:val="13"/>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59FE"/>
    <w:rsid w:val="00022F16"/>
    <w:rsid w:val="00023D78"/>
    <w:rsid w:val="0002724A"/>
    <w:rsid w:val="0003075C"/>
    <w:rsid w:val="0003457F"/>
    <w:rsid w:val="00041858"/>
    <w:rsid w:val="00045697"/>
    <w:rsid w:val="00051F61"/>
    <w:rsid w:val="00052659"/>
    <w:rsid w:val="000539E2"/>
    <w:rsid w:val="00055BED"/>
    <w:rsid w:val="00060743"/>
    <w:rsid w:val="00066796"/>
    <w:rsid w:val="000766D7"/>
    <w:rsid w:val="000A1B7A"/>
    <w:rsid w:val="000A2529"/>
    <w:rsid w:val="000B3315"/>
    <w:rsid w:val="000C3226"/>
    <w:rsid w:val="000C7678"/>
    <w:rsid w:val="000C770D"/>
    <w:rsid w:val="000D5E8E"/>
    <w:rsid w:val="000E03F3"/>
    <w:rsid w:val="000E3623"/>
    <w:rsid w:val="000F0E7C"/>
    <w:rsid w:val="000F1426"/>
    <w:rsid w:val="000F509A"/>
    <w:rsid w:val="001029C4"/>
    <w:rsid w:val="0011080A"/>
    <w:rsid w:val="001143CF"/>
    <w:rsid w:val="0011486D"/>
    <w:rsid w:val="00116BC8"/>
    <w:rsid w:val="00121E33"/>
    <w:rsid w:val="00123E01"/>
    <w:rsid w:val="00126550"/>
    <w:rsid w:val="00126EEF"/>
    <w:rsid w:val="0012774D"/>
    <w:rsid w:val="001324D6"/>
    <w:rsid w:val="00135BD2"/>
    <w:rsid w:val="001429D0"/>
    <w:rsid w:val="00150454"/>
    <w:rsid w:val="001533C6"/>
    <w:rsid w:val="00154825"/>
    <w:rsid w:val="00155DAF"/>
    <w:rsid w:val="001601B4"/>
    <w:rsid w:val="00165E83"/>
    <w:rsid w:val="0017516B"/>
    <w:rsid w:val="00176F1D"/>
    <w:rsid w:val="001801C0"/>
    <w:rsid w:val="00192B9D"/>
    <w:rsid w:val="00195B90"/>
    <w:rsid w:val="001A2ABE"/>
    <w:rsid w:val="001A360C"/>
    <w:rsid w:val="001C61D7"/>
    <w:rsid w:val="001D14DA"/>
    <w:rsid w:val="001E6995"/>
    <w:rsid w:val="001E7013"/>
    <w:rsid w:val="001F1513"/>
    <w:rsid w:val="001F43C6"/>
    <w:rsid w:val="00205769"/>
    <w:rsid w:val="00212FEC"/>
    <w:rsid w:val="002131BB"/>
    <w:rsid w:val="0022086D"/>
    <w:rsid w:val="00227E31"/>
    <w:rsid w:val="00230F81"/>
    <w:rsid w:val="002329EC"/>
    <w:rsid w:val="00233D8F"/>
    <w:rsid w:val="00254C6F"/>
    <w:rsid w:val="0025679F"/>
    <w:rsid w:val="0027266B"/>
    <w:rsid w:val="0027363B"/>
    <w:rsid w:val="00276FB2"/>
    <w:rsid w:val="00281E80"/>
    <w:rsid w:val="002834B0"/>
    <w:rsid w:val="00283671"/>
    <w:rsid w:val="00284E27"/>
    <w:rsid w:val="0028617C"/>
    <w:rsid w:val="00287506"/>
    <w:rsid w:val="002916A0"/>
    <w:rsid w:val="002A11B2"/>
    <w:rsid w:val="002A1973"/>
    <w:rsid w:val="002A6649"/>
    <w:rsid w:val="002B3C3A"/>
    <w:rsid w:val="002C2392"/>
    <w:rsid w:val="002D1C5C"/>
    <w:rsid w:val="002D1E20"/>
    <w:rsid w:val="002D584C"/>
    <w:rsid w:val="002E1809"/>
    <w:rsid w:val="002E6860"/>
    <w:rsid w:val="002F0411"/>
    <w:rsid w:val="00305C18"/>
    <w:rsid w:val="00307302"/>
    <w:rsid w:val="003100F1"/>
    <w:rsid w:val="003112F5"/>
    <w:rsid w:val="00322ACC"/>
    <w:rsid w:val="0032554E"/>
    <w:rsid w:val="00325E2A"/>
    <w:rsid w:val="0034786C"/>
    <w:rsid w:val="003517C9"/>
    <w:rsid w:val="0035234D"/>
    <w:rsid w:val="00353937"/>
    <w:rsid w:val="003647F0"/>
    <w:rsid w:val="00370000"/>
    <w:rsid w:val="00370E8D"/>
    <w:rsid w:val="00373507"/>
    <w:rsid w:val="0038230E"/>
    <w:rsid w:val="00382529"/>
    <w:rsid w:val="003847B2"/>
    <w:rsid w:val="00387375"/>
    <w:rsid w:val="00394A86"/>
    <w:rsid w:val="003B24E3"/>
    <w:rsid w:val="003B4CCF"/>
    <w:rsid w:val="003C21E0"/>
    <w:rsid w:val="003C4FD8"/>
    <w:rsid w:val="003C6AB4"/>
    <w:rsid w:val="003D512D"/>
    <w:rsid w:val="003E0779"/>
    <w:rsid w:val="003E099F"/>
    <w:rsid w:val="003E41FB"/>
    <w:rsid w:val="003E4330"/>
    <w:rsid w:val="003E7FE9"/>
    <w:rsid w:val="0040086D"/>
    <w:rsid w:val="004017D8"/>
    <w:rsid w:val="00411E03"/>
    <w:rsid w:val="004123B1"/>
    <w:rsid w:val="0041298D"/>
    <w:rsid w:val="004205FA"/>
    <w:rsid w:val="00423E06"/>
    <w:rsid w:val="00423E19"/>
    <w:rsid w:val="004303A1"/>
    <w:rsid w:val="0043072A"/>
    <w:rsid w:val="00440DC9"/>
    <w:rsid w:val="004506D2"/>
    <w:rsid w:val="004526F6"/>
    <w:rsid w:val="00456F40"/>
    <w:rsid w:val="004609BD"/>
    <w:rsid w:val="004634D9"/>
    <w:rsid w:val="004661EE"/>
    <w:rsid w:val="00466741"/>
    <w:rsid w:val="00475BA6"/>
    <w:rsid w:val="00477A07"/>
    <w:rsid w:val="00486DD1"/>
    <w:rsid w:val="004904E8"/>
    <w:rsid w:val="004A2BEA"/>
    <w:rsid w:val="004A3C64"/>
    <w:rsid w:val="004A48F2"/>
    <w:rsid w:val="004A5AEA"/>
    <w:rsid w:val="004B0343"/>
    <w:rsid w:val="004B20F8"/>
    <w:rsid w:val="004B2FDA"/>
    <w:rsid w:val="004B480A"/>
    <w:rsid w:val="004B6696"/>
    <w:rsid w:val="004D3D75"/>
    <w:rsid w:val="004E0E7B"/>
    <w:rsid w:val="004E339B"/>
    <w:rsid w:val="004E4562"/>
    <w:rsid w:val="004F077F"/>
    <w:rsid w:val="004F097F"/>
    <w:rsid w:val="004F38A3"/>
    <w:rsid w:val="005023DD"/>
    <w:rsid w:val="00503D8C"/>
    <w:rsid w:val="00505113"/>
    <w:rsid w:val="0050790E"/>
    <w:rsid w:val="005111DD"/>
    <w:rsid w:val="00522B84"/>
    <w:rsid w:val="00526DD0"/>
    <w:rsid w:val="00531A7F"/>
    <w:rsid w:val="005428C5"/>
    <w:rsid w:val="00543C55"/>
    <w:rsid w:val="005444D8"/>
    <w:rsid w:val="005554C7"/>
    <w:rsid w:val="0058279B"/>
    <w:rsid w:val="00582B99"/>
    <w:rsid w:val="00590903"/>
    <w:rsid w:val="005A040F"/>
    <w:rsid w:val="005B0FC9"/>
    <w:rsid w:val="005B4202"/>
    <w:rsid w:val="005B66D3"/>
    <w:rsid w:val="005C0A26"/>
    <w:rsid w:val="005C4556"/>
    <w:rsid w:val="005C5302"/>
    <w:rsid w:val="005E0B5B"/>
    <w:rsid w:val="005E362E"/>
    <w:rsid w:val="005E4B48"/>
    <w:rsid w:val="005E4D11"/>
    <w:rsid w:val="00600E64"/>
    <w:rsid w:val="0061109D"/>
    <w:rsid w:val="00612AA0"/>
    <w:rsid w:val="006138CB"/>
    <w:rsid w:val="006224C4"/>
    <w:rsid w:val="006225EA"/>
    <w:rsid w:val="006261DF"/>
    <w:rsid w:val="0062679A"/>
    <w:rsid w:val="006415DE"/>
    <w:rsid w:val="00642074"/>
    <w:rsid w:val="00642904"/>
    <w:rsid w:val="006563EB"/>
    <w:rsid w:val="00656B29"/>
    <w:rsid w:val="00660780"/>
    <w:rsid w:val="00667A1B"/>
    <w:rsid w:val="00683F13"/>
    <w:rsid w:val="0069521D"/>
    <w:rsid w:val="00695E58"/>
    <w:rsid w:val="00697AA1"/>
    <w:rsid w:val="006A03D5"/>
    <w:rsid w:val="006A1329"/>
    <w:rsid w:val="006A66F9"/>
    <w:rsid w:val="006C77F1"/>
    <w:rsid w:val="006E2677"/>
    <w:rsid w:val="006F2EE8"/>
    <w:rsid w:val="006F6158"/>
    <w:rsid w:val="00713A47"/>
    <w:rsid w:val="007208AB"/>
    <w:rsid w:val="00720DFF"/>
    <w:rsid w:val="00723F5D"/>
    <w:rsid w:val="007466E0"/>
    <w:rsid w:val="00754C23"/>
    <w:rsid w:val="00762CC5"/>
    <w:rsid w:val="00764025"/>
    <w:rsid w:val="00774464"/>
    <w:rsid w:val="007846B3"/>
    <w:rsid w:val="007906B4"/>
    <w:rsid w:val="007A3012"/>
    <w:rsid w:val="007A4A44"/>
    <w:rsid w:val="007A5FCF"/>
    <w:rsid w:val="007A7F58"/>
    <w:rsid w:val="007D1244"/>
    <w:rsid w:val="007D1AF6"/>
    <w:rsid w:val="007E759D"/>
    <w:rsid w:val="007F49FD"/>
    <w:rsid w:val="007F59F0"/>
    <w:rsid w:val="008014FA"/>
    <w:rsid w:val="008115D5"/>
    <w:rsid w:val="00812471"/>
    <w:rsid w:val="008261A5"/>
    <w:rsid w:val="0083382E"/>
    <w:rsid w:val="00851DBD"/>
    <w:rsid w:val="00853339"/>
    <w:rsid w:val="00855325"/>
    <w:rsid w:val="00862E34"/>
    <w:rsid w:val="00865915"/>
    <w:rsid w:val="00866332"/>
    <w:rsid w:val="00866AE7"/>
    <w:rsid w:val="00871832"/>
    <w:rsid w:val="00886CCE"/>
    <w:rsid w:val="00890348"/>
    <w:rsid w:val="00895028"/>
    <w:rsid w:val="00896B33"/>
    <w:rsid w:val="008A00C5"/>
    <w:rsid w:val="008A62FB"/>
    <w:rsid w:val="008A6585"/>
    <w:rsid w:val="008A77B7"/>
    <w:rsid w:val="008B0F67"/>
    <w:rsid w:val="008C3ED0"/>
    <w:rsid w:val="008C608D"/>
    <w:rsid w:val="008E1C5F"/>
    <w:rsid w:val="008E461D"/>
    <w:rsid w:val="008E6412"/>
    <w:rsid w:val="008F08E5"/>
    <w:rsid w:val="008F0EA4"/>
    <w:rsid w:val="008F423B"/>
    <w:rsid w:val="008F5213"/>
    <w:rsid w:val="0090748B"/>
    <w:rsid w:val="00920C9C"/>
    <w:rsid w:val="00922754"/>
    <w:rsid w:val="0092297D"/>
    <w:rsid w:val="009236AA"/>
    <w:rsid w:val="00925781"/>
    <w:rsid w:val="009258D0"/>
    <w:rsid w:val="00931052"/>
    <w:rsid w:val="00935AB3"/>
    <w:rsid w:val="00945CB6"/>
    <w:rsid w:val="00957DE0"/>
    <w:rsid w:val="009635F9"/>
    <w:rsid w:val="009734CE"/>
    <w:rsid w:val="009864F4"/>
    <w:rsid w:val="00996E1A"/>
    <w:rsid w:val="009A0E66"/>
    <w:rsid w:val="009B3C8C"/>
    <w:rsid w:val="009C5B77"/>
    <w:rsid w:val="009D24DA"/>
    <w:rsid w:val="009D5D75"/>
    <w:rsid w:val="009E7674"/>
    <w:rsid w:val="009F32A2"/>
    <w:rsid w:val="009F54CE"/>
    <w:rsid w:val="00A04A9E"/>
    <w:rsid w:val="00A06264"/>
    <w:rsid w:val="00A07CA3"/>
    <w:rsid w:val="00A14078"/>
    <w:rsid w:val="00A14C92"/>
    <w:rsid w:val="00A1639A"/>
    <w:rsid w:val="00A16998"/>
    <w:rsid w:val="00A215C9"/>
    <w:rsid w:val="00A5264B"/>
    <w:rsid w:val="00A52CBD"/>
    <w:rsid w:val="00A5364B"/>
    <w:rsid w:val="00A615E0"/>
    <w:rsid w:val="00A61BBC"/>
    <w:rsid w:val="00A62338"/>
    <w:rsid w:val="00A65E2B"/>
    <w:rsid w:val="00A72D61"/>
    <w:rsid w:val="00A74AA0"/>
    <w:rsid w:val="00A7546D"/>
    <w:rsid w:val="00A77100"/>
    <w:rsid w:val="00A829BA"/>
    <w:rsid w:val="00A875B2"/>
    <w:rsid w:val="00AA4D97"/>
    <w:rsid w:val="00AC0717"/>
    <w:rsid w:val="00AD17B7"/>
    <w:rsid w:val="00AD1F61"/>
    <w:rsid w:val="00AF1EA5"/>
    <w:rsid w:val="00B02DA5"/>
    <w:rsid w:val="00B077D5"/>
    <w:rsid w:val="00B110AB"/>
    <w:rsid w:val="00B11C66"/>
    <w:rsid w:val="00B150EF"/>
    <w:rsid w:val="00B200E4"/>
    <w:rsid w:val="00B35B6D"/>
    <w:rsid w:val="00B35DC6"/>
    <w:rsid w:val="00B455AF"/>
    <w:rsid w:val="00B47901"/>
    <w:rsid w:val="00B51699"/>
    <w:rsid w:val="00B53FAF"/>
    <w:rsid w:val="00B543F9"/>
    <w:rsid w:val="00B559C4"/>
    <w:rsid w:val="00B63153"/>
    <w:rsid w:val="00B6527D"/>
    <w:rsid w:val="00B73550"/>
    <w:rsid w:val="00B73B3A"/>
    <w:rsid w:val="00B74507"/>
    <w:rsid w:val="00B75718"/>
    <w:rsid w:val="00B75E7E"/>
    <w:rsid w:val="00B81983"/>
    <w:rsid w:val="00B92005"/>
    <w:rsid w:val="00B93817"/>
    <w:rsid w:val="00B9622F"/>
    <w:rsid w:val="00BA0B96"/>
    <w:rsid w:val="00BB15DA"/>
    <w:rsid w:val="00BB340D"/>
    <w:rsid w:val="00BC2A3A"/>
    <w:rsid w:val="00BC64EC"/>
    <w:rsid w:val="00BD073D"/>
    <w:rsid w:val="00BE3639"/>
    <w:rsid w:val="00BE4060"/>
    <w:rsid w:val="00BF3AFD"/>
    <w:rsid w:val="00BF4F54"/>
    <w:rsid w:val="00C1086F"/>
    <w:rsid w:val="00C1606C"/>
    <w:rsid w:val="00C21CCF"/>
    <w:rsid w:val="00C23180"/>
    <w:rsid w:val="00C40809"/>
    <w:rsid w:val="00C409EC"/>
    <w:rsid w:val="00C41492"/>
    <w:rsid w:val="00C519D3"/>
    <w:rsid w:val="00C57585"/>
    <w:rsid w:val="00C702B5"/>
    <w:rsid w:val="00C70389"/>
    <w:rsid w:val="00C72EED"/>
    <w:rsid w:val="00C82B6C"/>
    <w:rsid w:val="00C8617F"/>
    <w:rsid w:val="00C904B6"/>
    <w:rsid w:val="00C959FC"/>
    <w:rsid w:val="00C96DF4"/>
    <w:rsid w:val="00CA25A2"/>
    <w:rsid w:val="00CC1337"/>
    <w:rsid w:val="00CC48DF"/>
    <w:rsid w:val="00CD0EFC"/>
    <w:rsid w:val="00CD4A02"/>
    <w:rsid w:val="00CD4CE5"/>
    <w:rsid w:val="00CD70E7"/>
    <w:rsid w:val="00CD7363"/>
    <w:rsid w:val="00CE0C1F"/>
    <w:rsid w:val="00CE455F"/>
    <w:rsid w:val="00CE687E"/>
    <w:rsid w:val="00CF0BF9"/>
    <w:rsid w:val="00CF0C9B"/>
    <w:rsid w:val="00CF2280"/>
    <w:rsid w:val="00CF5957"/>
    <w:rsid w:val="00D04BA2"/>
    <w:rsid w:val="00D077B0"/>
    <w:rsid w:val="00D21B3B"/>
    <w:rsid w:val="00D22D42"/>
    <w:rsid w:val="00D24B4C"/>
    <w:rsid w:val="00D36D8D"/>
    <w:rsid w:val="00D408DE"/>
    <w:rsid w:val="00D45711"/>
    <w:rsid w:val="00D474B6"/>
    <w:rsid w:val="00D500FC"/>
    <w:rsid w:val="00D5104F"/>
    <w:rsid w:val="00D51597"/>
    <w:rsid w:val="00D5326E"/>
    <w:rsid w:val="00D55867"/>
    <w:rsid w:val="00D55FCD"/>
    <w:rsid w:val="00D634A3"/>
    <w:rsid w:val="00D71987"/>
    <w:rsid w:val="00D72339"/>
    <w:rsid w:val="00D73E47"/>
    <w:rsid w:val="00D74ABB"/>
    <w:rsid w:val="00D83CB7"/>
    <w:rsid w:val="00D84CB5"/>
    <w:rsid w:val="00D84D46"/>
    <w:rsid w:val="00D94696"/>
    <w:rsid w:val="00D97FA8"/>
    <w:rsid w:val="00DA054B"/>
    <w:rsid w:val="00DA196C"/>
    <w:rsid w:val="00DA7F55"/>
    <w:rsid w:val="00DC7B25"/>
    <w:rsid w:val="00DD6B73"/>
    <w:rsid w:val="00DF4B49"/>
    <w:rsid w:val="00E0111D"/>
    <w:rsid w:val="00E02503"/>
    <w:rsid w:val="00E06E94"/>
    <w:rsid w:val="00E112C9"/>
    <w:rsid w:val="00E158F7"/>
    <w:rsid w:val="00E2087E"/>
    <w:rsid w:val="00E31133"/>
    <w:rsid w:val="00E36818"/>
    <w:rsid w:val="00E4097E"/>
    <w:rsid w:val="00E42327"/>
    <w:rsid w:val="00E47B97"/>
    <w:rsid w:val="00E5203C"/>
    <w:rsid w:val="00E634CC"/>
    <w:rsid w:val="00E70681"/>
    <w:rsid w:val="00E82F0E"/>
    <w:rsid w:val="00E90DFD"/>
    <w:rsid w:val="00E96FAC"/>
    <w:rsid w:val="00EA129F"/>
    <w:rsid w:val="00EB2E4B"/>
    <w:rsid w:val="00ED0582"/>
    <w:rsid w:val="00ED111E"/>
    <w:rsid w:val="00EE075D"/>
    <w:rsid w:val="00EE31F6"/>
    <w:rsid w:val="00EE36DC"/>
    <w:rsid w:val="00EE5F5B"/>
    <w:rsid w:val="00EE67DC"/>
    <w:rsid w:val="00EE7304"/>
    <w:rsid w:val="00F044EE"/>
    <w:rsid w:val="00F1296B"/>
    <w:rsid w:val="00F13885"/>
    <w:rsid w:val="00F23BDE"/>
    <w:rsid w:val="00F26E7B"/>
    <w:rsid w:val="00F32759"/>
    <w:rsid w:val="00F3320B"/>
    <w:rsid w:val="00F40E92"/>
    <w:rsid w:val="00F41947"/>
    <w:rsid w:val="00F435AA"/>
    <w:rsid w:val="00F448CB"/>
    <w:rsid w:val="00F45730"/>
    <w:rsid w:val="00F55AD0"/>
    <w:rsid w:val="00F635B4"/>
    <w:rsid w:val="00F67DD8"/>
    <w:rsid w:val="00F750C9"/>
    <w:rsid w:val="00F76C6A"/>
    <w:rsid w:val="00F829A9"/>
    <w:rsid w:val="00F83BF1"/>
    <w:rsid w:val="00F90CB9"/>
    <w:rsid w:val="00F944DB"/>
    <w:rsid w:val="00F97373"/>
    <w:rsid w:val="00FA3D62"/>
    <w:rsid w:val="00FA6854"/>
    <w:rsid w:val="00FB064F"/>
    <w:rsid w:val="00FB144F"/>
    <w:rsid w:val="00FB159A"/>
    <w:rsid w:val="00FB4D77"/>
    <w:rsid w:val="00FB6D2F"/>
    <w:rsid w:val="00FC497D"/>
    <w:rsid w:val="00FD076B"/>
    <w:rsid w:val="00FF283F"/>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0BBF27"/>
  <w15:docId w15:val="{9ABE9FAD-A255-4D0A-BF79-2D0E5631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153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F32759"/>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character" w:styleId="Kommentarzeichen">
    <w:name w:val="annotation reference"/>
    <w:basedOn w:val="Absatz-Standardschriftart"/>
    <w:uiPriority w:val="99"/>
    <w:semiHidden/>
    <w:unhideWhenUsed/>
    <w:rsid w:val="00B73550"/>
    <w:rPr>
      <w:sz w:val="16"/>
      <w:szCs w:val="16"/>
    </w:rPr>
  </w:style>
  <w:style w:type="paragraph" w:styleId="Kommentartext">
    <w:name w:val="annotation text"/>
    <w:basedOn w:val="Standard"/>
    <w:link w:val="KommentartextZchn"/>
    <w:uiPriority w:val="99"/>
    <w:unhideWhenUsed/>
    <w:rsid w:val="00B73550"/>
    <w:rPr>
      <w:sz w:val="20"/>
      <w:szCs w:val="20"/>
    </w:rPr>
  </w:style>
  <w:style w:type="character" w:customStyle="1" w:styleId="KommentartextZchn">
    <w:name w:val="Kommentartext Zchn"/>
    <w:basedOn w:val="Absatz-Standardschriftart"/>
    <w:link w:val="Kommentartext"/>
    <w:uiPriority w:val="99"/>
    <w:rsid w:val="00B73550"/>
    <w:rPr>
      <w:sz w:val="20"/>
      <w:szCs w:val="20"/>
      <w:lang w:eastAsia="en-US"/>
    </w:rPr>
  </w:style>
  <w:style w:type="paragraph" w:styleId="Kommentarthema">
    <w:name w:val="annotation subject"/>
    <w:basedOn w:val="Kommentartext"/>
    <w:next w:val="Kommentartext"/>
    <w:link w:val="KommentarthemaZchn"/>
    <w:uiPriority w:val="99"/>
    <w:semiHidden/>
    <w:unhideWhenUsed/>
    <w:rsid w:val="00B73550"/>
    <w:rPr>
      <w:b/>
      <w:bCs/>
    </w:rPr>
  </w:style>
  <w:style w:type="character" w:customStyle="1" w:styleId="KommentarthemaZchn">
    <w:name w:val="Kommentarthema Zchn"/>
    <w:basedOn w:val="KommentartextZchn"/>
    <w:link w:val="Kommentarthema"/>
    <w:uiPriority w:val="99"/>
    <w:semiHidden/>
    <w:rsid w:val="00B73550"/>
    <w:rPr>
      <w:b/>
      <w:bCs/>
      <w:sz w:val="20"/>
      <w:szCs w:val="20"/>
      <w:lang w:eastAsia="en-US"/>
    </w:rPr>
  </w:style>
  <w:style w:type="character" w:styleId="Hervorhebung">
    <w:name w:val="Emphasis"/>
    <w:basedOn w:val="Absatz-Standardschriftart"/>
    <w:uiPriority w:val="20"/>
    <w:qFormat/>
    <w:locked/>
    <w:rsid w:val="00B559C4"/>
    <w:rPr>
      <w:i/>
      <w:iCs/>
    </w:rPr>
  </w:style>
  <w:style w:type="paragraph" w:customStyle="1" w:styleId="GrafikBeschriftungNL">
    <w:name w:val="Grafik Beschriftung NL"/>
    <w:basedOn w:val="FliesstextNL"/>
    <w:uiPriority w:val="99"/>
    <w:rsid w:val="00E06E94"/>
    <w:pPr>
      <w:jc w:val="left"/>
    </w:pPr>
    <w:rPr>
      <w:spacing w:val="-3"/>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365639114">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rmanpropertypartners.de/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n.eug-immobilien.de/privat-immobilien" TargetMode="External"/><Relationship Id="rId17" Type="http://schemas.openxmlformats.org/officeDocument/2006/relationships/hyperlink" Target="mailto:presse@grossmann-berger.de" TargetMode="External"/><Relationship Id="rId2" Type="http://schemas.openxmlformats.org/officeDocument/2006/relationships/numbering" Target="numbering.xml"/><Relationship Id="rId16" Type="http://schemas.openxmlformats.org/officeDocument/2006/relationships/hyperlink" Target="https://www.grossmann-berger.de/en/company/press-portfolio/terms-of-use-for-press-materi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eug-immobilien.de/gewerbe-immobilien" TargetMode="External"/><Relationship Id="rId5" Type="http://schemas.openxmlformats.org/officeDocument/2006/relationships/webSettings" Target="webSettings.xml"/><Relationship Id="rId15" Type="http://schemas.openxmlformats.org/officeDocument/2006/relationships/hyperlink" Target="https://www.grossmann-berger.de/en/company/press-portfolio" TargetMode="External"/><Relationship Id="rId23" Type="http://schemas.openxmlformats.org/officeDocument/2006/relationships/theme" Target="theme/theme1.xml"/><Relationship Id="rId10" Type="http://schemas.openxmlformats.org/officeDocument/2006/relationships/hyperlink" Target="https://www.grossmann-berger.de/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ossmann-berger.de/en/well-informed/market-reports-and-price-trends" TargetMode="External"/><Relationship Id="rId14" Type="http://schemas.openxmlformats.org/officeDocument/2006/relationships/hyperlink" Target="https://www.grossmann-berger.de/en/privac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5F226-7434-4A9E-9063-7E8C45B5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5378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3</cp:revision>
  <cp:lastPrinted>2023-01-04T16:06:00Z</cp:lastPrinted>
  <dcterms:created xsi:type="dcterms:W3CDTF">2023-01-12T13:48:00Z</dcterms:created>
  <dcterms:modified xsi:type="dcterms:W3CDTF">2023-01-12T13:51:00Z</dcterms:modified>
</cp:coreProperties>
</file>