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74DE" w14:textId="0D9315FD" w:rsidR="004526F6" w:rsidRPr="000D7B62" w:rsidRDefault="000D7B62" w:rsidP="004526F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</w:rPr>
        <w:t>Hamburg: Office letting market</w:t>
      </w:r>
      <w:r w:rsidR="001533C6">
        <w:rPr>
          <w:rFonts w:ascii="Arial" w:hAnsi="Arial"/>
          <w:b/>
        </w:rPr>
        <w:t xml:space="preserve"> 1st quarter of 2023</w:t>
      </w:r>
      <w:r w:rsidR="001533C6">
        <w:rPr>
          <w:rFonts w:ascii="Arial" w:hAnsi="Arial"/>
          <w:b/>
        </w:rPr>
        <w:br/>
      </w:r>
      <w:r w:rsidR="001533C6" w:rsidRPr="000D7B62">
        <w:rPr>
          <w:rFonts w:ascii="Arial" w:hAnsi="Arial"/>
          <w:b/>
          <w:sz w:val="28"/>
          <w:szCs w:val="28"/>
        </w:rPr>
        <w:t xml:space="preserve">Many queries from the </w:t>
      </w:r>
      <w:proofErr w:type="spellStart"/>
      <w:r w:rsidR="001533C6" w:rsidRPr="000D7B62">
        <w:rPr>
          <w:rFonts w:ascii="Arial" w:hAnsi="Arial"/>
          <w:b/>
          <w:sz w:val="28"/>
          <w:szCs w:val="28"/>
        </w:rPr>
        <w:t>Mittelstand</w:t>
      </w:r>
      <w:proofErr w:type="spellEnd"/>
    </w:p>
    <w:p w14:paraId="18597652" w14:textId="1F9B6939" w:rsidR="001533C6" w:rsidRPr="0090748B" w:rsidRDefault="001533C6" w:rsidP="004526F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659E9B6" w14:textId="0591A3E7" w:rsidR="005B4202" w:rsidRPr="000D5E8E" w:rsidRDefault="001533C6" w:rsidP="000D5E8E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Hamburg, 4 April 2023</w:t>
      </w:r>
      <w:r>
        <w:rPr>
          <w:rFonts w:ascii="Arial" w:hAnsi="Arial"/>
          <w:sz w:val="20"/>
          <w:szCs w:val="20"/>
        </w:rPr>
        <w:t xml:space="preserve"> – The office letting market in Hamburg started the year 2023 with take-up of space at a respectable 105,000 m². Nevertheless, the result posted for the 1st quarter of 2023 was 22 % below the strong take-up of space in the same quarter a year before. Research conducted by Grossmann &amp; Berger, member of German Property Partners (GPP)</w:t>
      </w:r>
      <w:r w:rsidR="00F71522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reveals that relatively little space </w:t>
      </w:r>
      <w:r w:rsidR="000337A2">
        <w:rPr>
          <w:rFonts w:ascii="Arial" w:hAnsi="Arial"/>
          <w:sz w:val="20"/>
          <w:szCs w:val="20"/>
        </w:rPr>
        <w:t xml:space="preserve">was taken up by owner-occupiers as well as by tenants </w:t>
      </w:r>
      <w:r w:rsidR="00C572BC" w:rsidRPr="001E1FF2">
        <w:rPr>
          <w:rFonts w:ascii="Arial" w:hAnsi="Arial"/>
          <w:sz w:val="20"/>
          <w:szCs w:val="20"/>
        </w:rPr>
        <w:t xml:space="preserve">of space </w:t>
      </w:r>
      <w:r>
        <w:rPr>
          <w:rFonts w:ascii="Arial" w:hAnsi="Arial"/>
          <w:sz w:val="20"/>
          <w:szCs w:val="20"/>
        </w:rPr>
        <w:t>measu</w:t>
      </w:r>
      <w:r w:rsidR="000337A2">
        <w:rPr>
          <w:rFonts w:ascii="Arial" w:hAnsi="Arial"/>
          <w:sz w:val="20"/>
          <w:szCs w:val="20"/>
        </w:rPr>
        <w:t>ring between 1,000 and 2,000 m²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i/>
          <w:sz w:val="20"/>
          <w:szCs w:val="20"/>
        </w:rPr>
        <w:t>“Despite all, the mood is good,”</w:t>
      </w:r>
      <w:r>
        <w:rPr>
          <w:rFonts w:ascii="Arial" w:hAnsi="Arial"/>
          <w:sz w:val="20"/>
          <w:szCs w:val="20"/>
        </w:rPr>
        <w:t xml:space="preserve"> remarks </w:t>
      </w:r>
      <w:r>
        <w:rPr>
          <w:rFonts w:ascii="Arial" w:hAnsi="Arial"/>
          <w:b/>
          <w:sz w:val="20"/>
          <w:szCs w:val="20"/>
        </w:rPr>
        <w:t xml:space="preserve">Andreas </w:t>
      </w:r>
      <w:proofErr w:type="spellStart"/>
      <w:r>
        <w:rPr>
          <w:rFonts w:ascii="Arial" w:hAnsi="Arial"/>
          <w:b/>
          <w:sz w:val="20"/>
          <w:szCs w:val="20"/>
        </w:rPr>
        <w:t>Rehberg</w:t>
      </w:r>
      <w:proofErr w:type="spellEnd"/>
      <w:r w:rsidRPr="00F71522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spokesperson for the Grossmann &amp; Berger management board.</w:t>
      </w:r>
      <w:r>
        <w:rPr>
          <w:rFonts w:ascii="Arial" w:hAnsi="Arial"/>
          <w:i/>
          <w:sz w:val="20"/>
          <w:szCs w:val="20"/>
        </w:rPr>
        <w:t xml:space="preserve"> </w:t>
      </w:r>
      <w:r w:rsidR="00464BE1">
        <w:rPr>
          <w:rFonts w:ascii="Arial" w:hAnsi="Arial"/>
          <w:i/>
          <w:sz w:val="20"/>
          <w:szCs w:val="20"/>
        </w:rPr>
        <w:t>“</w:t>
      </w:r>
      <w:r>
        <w:rPr>
          <w:rFonts w:ascii="Arial" w:hAnsi="Arial"/>
          <w:i/>
          <w:sz w:val="20"/>
          <w:szCs w:val="20"/>
        </w:rPr>
        <w:t xml:space="preserve">At present many companies in the </w:t>
      </w:r>
      <w:proofErr w:type="spellStart"/>
      <w:r>
        <w:rPr>
          <w:rFonts w:ascii="Arial" w:hAnsi="Arial"/>
          <w:i/>
          <w:sz w:val="20"/>
          <w:szCs w:val="20"/>
        </w:rPr>
        <w:t>Mittelstand</w:t>
      </w:r>
      <w:proofErr w:type="spellEnd"/>
      <w:r>
        <w:rPr>
          <w:rFonts w:ascii="Arial" w:hAnsi="Arial"/>
          <w:i/>
          <w:sz w:val="20"/>
          <w:szCs w:val="20"/>
        </w:rPr>
        <w:t xml:space="preserve"> are enquiring about premises offering up to 5,000 square metres of space. Irrespective of size category, potential occupiers are consistently seeking offices in good locations with excellent fit-out. Sustainability issues have now definitely become one of the search criteria, ESG conformity is growing more and more important when deciding which property to rent.” </w:t>
      </w:r>
    </w:p>
    <w:p w14:paraId="0E0F7BA0" w14:textId="77777777" w:rsidR="00475BA6" w:rsidRPr="00475BA6" w:rsidRDefault="00475BA6" w:rsidP="000D5E8E">
      <w:pPr>
        <w:pStyle w:val="FliesstextNL"/>
        <w:spacing w:line="360" w:lineRule="auto"/>
        <w:jc w:val="left"/>
        <w:rPr>
          <w:rFonts w:ascii="Arial" w:hAnsi="Arial" w:cs="Arial"/>
          <w:b/>
          <w:color w:val="auto"/>
          <w:sz w:val="20"/>
          <w:szCs w:val="20"/>
        </w:rPr>
      </w:pPr>
    </w:p>
    <w:p w14:paraId="7491727E" w14:textId="4ACA1A25" w:rsidR="001533C6" w:rsidRDefault="001533C6" w:rsidP="001533C6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Market details: </w:t>
      </w:r>
    </w:p>
    <w:p w14:paraId="09C17EEF" w14:textId="4FF8AC60" w:rsidR="004526F6" w:rsidRDefault="00367109" w:rsidP="00657E35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At the start of the year </w:t>
      </w:r>
      <w:r>
        <w:rPr>
          <w:rFonts w:ascii="Arial" w:hAnsi="Arial"/>
          <w:sz w:val="20"/>
          <w:szCs w:val="20"/>
          <w:u w:val="single"/>
        </w:rPr>
        <w:t>owner-occupiers</w:t>
      </w:r>
      <w:r>
        <w:rPr>
          <w:rFonts w:ascii="Arial" w:hAnsi="Arial"/>
          <w:sz w:val="20"/>
          <w:szCs w:val="20"/>
        </w:rPr>
        <w:t xml:space="preserve"> played a negligible role with take-up of around 3,000 m². Year on year their share of take-up on Hamburg’s office market fell from 16 % to 3 % in the 1st quarter of 2023. </w:t>
      </w:r>
    </w:p>
    <w:p w14:paraId="295BDBB8" w14:textId="6D95E8AE" w:rsidR="008C5BC7" w:rsidRDefault="00367109" w:rsidP="00657E35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Whereas take-up of space in the </w:t>
      </w:r>
      <w:r>
        <w:rPr>
          <w:rFonts w:ascii="Arial" w:hAnsi="Arial"/>
          <w:sz w:val="20"/>
          <w:szCs w:val="20"/>
          <w:u w:val="single"/>
        </w:rPr>
        <w:t>size category</w:t>
      </w:r>
      <w:r w:rsidR="000337A2">
        <w:rPr>
          <w:rFonts w:ascii="Arial" w:hAnsi="Arial"/>
          <w:sz w:val="20"/>
          <w:szCs w:val="20"/>
        </w:rPr>
        <w:t xml:space="preserve"> of over 2,</w:t>
      </w:r>
      <w:r>
        <w:rPr>
          <w:rFonts w:ascii="Arial" w:hAnsi="Arial"/>
          <w:sz w:val="20"/>
          <w:szCs w:val="20"/>
        </w:rPr>
        <w:t xml:space="preserve">000 m² was relatively unchanged year on year at some 50,900 m², appreciably less space was taken up in the smaller segment, i.e. below 2,000 m². Take-up of space in this category fell by 33 %. </w:t>
      </w:r>
    </w:p>
    <w:p w14:paraId="610BDA0D" w14:textId="13978935" w:rsidR="008C5BC7" w:rsidRDefault="0087543D" w:rsidP="00657E35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 view of several rental agreements signed over the past twelve months for prime new-build projects such as the “</w:t>
      </w:r>
      <w:proofErr w:type="spellStart"/>
      <w:r>
        <w:rPr>
          <w:rFonts w:ascii="Arial" w:hAnsi="Arial"/>
          <w:sz w:val="20"/>
          <w:szCs w:val="20"/>
        </w:rPr>
        <w:t>Burstah</w:t>
      </w:r>
      <w:proofErr w:type="spellEnd"/>
      <w:r>
        <w:rPr>
          <w:rFonts w:ascii="Arial" w:hAnsi="Arial"/>
          <w:sz w:val="20"/>
          <w:szCs w:val="20"/>
        </w:rPr>
        <w:t>” or “Westfield Hamburg-</w:t>
      </w:r>
      <w:proofErr w:type="spellStart"/>
      <w:r>
        <w:rPr>
          <w:rFonts w:ascii="Arial" w:hAnsi="Arial"/>
          <w:sz w:val="20"/>
          <w:szCs w:val="20"/>
        </w:rPr>
        <w:t>Überseequartier</w:t>
      </w:r>
      <w:proofErr w:type="spellEnd"/>
      <w:r>
        <w:rPr>
          <w:rFonts w:ascii="Arial" w:hAnsi="Arial"/>
          <w:sz w:val="20"/>
          <w:szCs w:val="20"/>
        </w:rPr>
        <w:t xml:space="preserve">”, the </w:t>
      </w:r>
      <w:r>
        <w:rPr>
          <w:rFonts w:ascii="Arial" w:hAnsi="Arial"/>
          <w:sz w:val="20"/>
          <w:szCs w:val="20"/>
          <w:u w:val="single"/>
        </w:rPr>
        <w:t>premium rent</w:t>
      </w:r>
      <w:r>
        <w:rPr>
          <w:rFonts w:ascii="Arial" w:hAnsi="Arial"/>
          <w:sz w:val="20"/>
          <w:szCs w:val="20"/>
        </w:rPr>
        <w:t xml:space="preserve"> has climbed to a new record high of €34.50/m²/month. The </w:t>
      </w:r>
      <w:r>
        <w:rPr>
          <w:rFonts w:ascii="Arial" w:hAnsi="Arial"/>
          <w:sz w:val="20"/>
          <w:szCs w:val="20"/>
          <w:u w:val="single"/>
        </w:rPr>
        <w:t>average rent</w:t>
      </w:r>
      <w:r>
        <w:rPr>
          <w:rFonts w:ascii="Arial" w:hAnsi="Arial"/>
          <w:sz w:val="20"/>
          <w:szCs w:val="20"/>
        </w:rPr>
        <w:t xml:space="preserve"> has remained stable sin</w:t>
      </w:r>
      <w:r w:rsidR="000337A2">
        <w:rPr>
          <w:rFonts w:ascii="Arial" w:hAnsi="Arial"/>
          <w:sz w:val="20"/>
          <w:szCs w:val="20"/>
        </w:rPr>
        <w:t>ce the 3rd quarter of 2022 at €</w:t>
      </w:r>
      <w:r>
        <w:rPr>
          <w:rFonts w:ascii="Arial" w:hAnsi="Arial"/>
          <w:sz w:val="20"/>
          <w:szCs w:val="20"/>
        </w:rPr>
        <w:t>21.00/m²/month.</w:t>
      </w:r>
    </w:p>
    <w:p w14:paraId="63E53F61" w14:textId="7CBDB174" w:rsidR="0087543D" w:rsidRDefault="00935EDC" w:rsidP="00657E35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Rehberg</w:t>
      </w:r>
      <w:proofErr w:type="spellEnd"/>
      <w:r>
        <w:rPr>
          <w:rFonts w:ascii="Arial" w:hAnsi="Arial"/>
          <w:sz w:val="20"/>
          <w:szCs w:val="20"/>
        </w:rPr>
        <w:t xml:space="preserve"> notes that, </w:t>
      </w:r>
      <w:r>
        <w:rPr>
          <w:rFonts w:ascii="Arial" w:hAnsi="Arial"/>
          <w:i/>
          <w:sz w:val="20"/>
          <w:szCs w:val="20"/>
        </w:rPr>
        <w:t xml:space="preserve">“With a </w:t>
      </w:r>
      <w:r>
        <w:rPr>
          <w:rFonts w:ascii="Arial" w:hAnsi="Arial"/>
          <w:i/>
          <w:sz w:val="20"/>
          <w:szCs w:val="20"/>
          <w:u w:val="single"/>
        </w:rPr>
        <w:t>vacancy rate</w:t>
      </w:r>
      <w:r>
        <w:rPr>
          <w:rFonts w:ascii="Arial" w:hAnsi="Arial"/>
          <w:i/>
          <w:sz w:val="20"/>
          <w:szCs w:val="20"/>
        </w:rPr>
        <w:t xml:space="preserve"> of 4 per cent in Hamburg we have now regained a healthy relationship between supply and demand.”</w:t>
      </w:r>
      <w:r>
        <w:rPr>
          <w:rFonts w:ascii="Arial" w:hAnsi="Arial"/>
          <w:sz w:val="20"/>
          <w:szCs w:val="20"/>
        </w:rPr>
        <w:t xml:space="preserve"> At the beginning of 2022 the vacancy rate had been 3.5 %. Year on year the supply of </w:t>
      </w:r>
      <w:r>
        <w:rPr>
          <w:rFonts w:ascii="Arial" w:hAnsi="Arial"/>
          <w:sz w:val="20"/>
          <w:szCs w:val="20"/>
          <w:u w:val="single"/>
        </w:rPr>
        <w:t>sub-let space</w:t>
      </w:r>
      <w:r>
        <w:rPr>
          <w:rFonts w:ascii="Arial" w:hAnsi="Arial"/>
          <w:sz w:val="20"/>
          <w:szCs w:val="20"/>
        </w:rPr>
        <w:t xml:space="preserve"> available in the short term has decreased a little. </w:t>
      </w:r>
      <w:r>
        <w:rPr>
          <w:rFonts w:ascii="Arial" w:hAnsi="Arial"/>
          <w:i/>
          <w:sz w:val="20"/>
          <w:szCs w:val="20"/>
        </w:rPr>
        <w:t>“Some firms are, however, receptive to the idea of moving into smaller premises. But it is important to find the right solutions for all parties,”</w:t>
      </w:r>
      <w:r>
        <w:rPr>
          <w:rFonts w:ascii="Arial" w:hAnsi="Arial"/>
          <w:sz w:val="20"/>
          <w:szCs w:val="20"/>
        </w:rPr>
        <w:t xml:space="preserve"> says </w:t>
      </w:r>
      <w:proofErr w:type="spellStart"/>
      <w:r>
        <w:rPr>
          <w:rFonts w:ascii="Arial" w:hAnsi="Arial"/>
          <w:b/>
          <w:sz w:val="20"/>
          <w:szCs w:val="20"/>
        </w:rPr>
        <w:t>Rehberg</w:t>
      </w:r>
      <w:proofErr w:type="spellEnd"/>
      <w:r>
        <w:rPr>
          <w:rFonts w:ascii="Arial" w:hAnsi="Arial"/>
          <w:sz w:val="20"/>
          <w:szCs w:val="20"/>
        </w:rPr>
        <w:t xml:space="preserve">, commenting the changing availability of sub-let space. </w:t>
      </w:r>
    </w:p>
    <w:p w14:paraId="5A476B8C" w14:textId="48273275" w:rsidR="004905CF" w:rsidRDefault="00473886" w:rsidP="00657E35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He adds that,</w:t>
      </w:r>
      <w:r>
        <w:rPr>
          <w:rFonts w:ascii="Arial" w:hAnsi="Arial"/>
          <w:i/>
          <w:sz w:val="20"/>
          <w:szCs w:val="20"/>
        </w:rPr>
        <w:t xml:space="preserve"> “Delays in construction projects led to shifts in the </w:t>
      </w:r>
      <w:r>
        <w:rPr>
          <w:rFonts w:ascii="Arial" w:hAnsi="Arial"/>
          <w:i/>
          <w:sz w:val="20"/>
          <w:szCs w:val="20"/>
          <w:u w:val="single"/>
        </w:rPr>
        <w:t>volume of completions.</w:t>
      </w:r>
      <w:r>
        <w:rPr>
          <w:rFonts w:ascii="Arial" w:hAnsi="Arial"/>
          <w:i/>
          <w:sz w:val="20"/>
          <w:szCs w:val="20"/>
        </w:rPr>
        <w:t xml:space="preserve">” </w:t>
      </w:r>
      <w:r>
        <w:rPr>
          <w:rFonts w:ascii="Arial" w:hAnsi="Arial"/>
          <w:sz w:val="20"/>
          <w:szCs w:val="20"/>
        </w:rPr>
        <w:t xml:space="preserve">At the end of March the total completions for 2023 and 2024 added up to 395,000 m², of which 74 % has been pre-let. Only a few speculative projects were started in view of the </w:t>
      </w:r>
      <w:r>
        <w:rPr>
          <w:rFonts w:ascii="Arial" w:hAnsi="Arial"/>
          <w:sz w:val="20"/>
          <w:szCs w:val="20"/>
          <w:u w:val="single"/>
        </w:rPr>
        <w:t>pre-letting ratios</w:t>
      </w:r>
      <w:r>
        <w:rPr>
          <w:rFonts w:ascii="Arial" w:hAnsi="Arial"/>
          <w:sz w:val="20"/>
          <w:szCs w:val="20"/>
        </w:rPr>
        <w:t xml:space="preserve"> required by the lending banks.</w:t>
      </w:r>
    </w:p>
    <w:p w14:paraId="1C108518" w14:textId="33ED98AE" w:rsidR="000C4A45" w:rsidRDefault="002F4A66" w:rsidP="00222703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Partly due to the two biggest rental agreements signed, educational facilities and the information and telecom </w:t>
      </w:r>
      <w:r>
        <w:rPr>
          <w:rFonts w:ascii="Arial" w:hAnsi="Arial"/>
          <w:sz w:val="20"/>
          <w:szCs w:val="20"/>
          <w:u w:val="single"/>
        </w:rPr>
        <w:t>sectors of industry</w:t>
      </w:r>
      <w:r>
        <w:rPr>
          <w:rFonts w:ascii="Arial" w:hAnsi="Arial"/>
          <w:sz w:val="20"/>
          <w:szCs w:val="20"/>
        </w:rPr>
        <w:t xml:space="preserve"> each took a 12 % share of the market. </w:t>
      </w:r>
    </w:p>
    <w:p w14:paraId="4C2649DF" w14:textId="036D2D46" w:rsidR="00052659" w:rsidRPr="001429D0" w:rsidRDefault="00052659" w:rsidP="001429D0">
      <w:pPr>
        <w:pStyle w:val="FliesstextNL"/>
        <w:spacing w:line="360" w:lineRule="auto"/>
        <w:jc w:val="left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48"/>
        <w:tblW w:w="2575" w:type="pct"/>
        <w:tblLayout w:type="fixed"/>
        <w:tblLook w:val="04A0" w:firstRow="1" w:lastRow="0" w:firstColumn="1" w:lastColumn="0" w:noHBand="0" w:noVBand="1"/>
      </w:tblPr>
      <w:tblGrid>
        <w:gridCol w:w="3823"/>
        <w:gridCol w:w="1134"/>
      </w:tblGrid>
      <w:tr w:rsidR="001533C6" w:rsidRPr="005650DF" w14:paraId="4FF9FD53" w14:textId="77777777" w:rsidTr="001533C6">
        <w:trPr>
          <w:trHeight w:val="416"/>
        </w:trPr>
        <w:tc>
          <w:tcPr>
            <w:tcW w:w="3856" w:type="pct"/>
            <w:shd w:val="clear" w:color="auto" w:fill="000000" w:themeFill="text1"/>
            <w:vAlign w:val="center"/>
          </w:tcPr>
          <w:p w14:paraId="73ECD5FC" w14:textId="4C9D48AC" w:rsidR="001533C6" w:rsidRPr="001533C6" w:rsidRDefault="001533C6" w:rsidP="008C5BC7">
            <w:pPr>
              <w:widowControl w:val="0"/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20"/>
              </w:rPr>
              <w:lastRenderedPageBreak/>
              <w:t>Office letting market | Hamburg | 2023</w:t>
            </w:r>
          </w:p>
        </w:tc>
        <w:tc>
          <w:tcPr>
            <w:tcW w:w="1144" w:type="pct"/>
            <w:shd w:val="clear" w:color="auto" w:fill="000000" w:themeFill="text1"/>
            <w:vAlign w:val="center"/>
          </w:tcPr>
          <w:p w14:paraId="5FDA2CEA" w14:textId="4BED768E" w:rsidR="001533C6" w:rsidRPr="001533C6" w:rsidRDefault="001533C6" w:rsidP="008C5BC7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6"/>
              </w:rPr>
              <w:t>Q1</w:t>
            </w:r>
          </w:p>
        </w:tc>
      </w:tr>
      <w:tr w:rsidR="00B64A79" w:rsidRPr="00F952F7" w14:paraId="70B142AA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4783DB5" w14:textId="77777777" w:rsidR="00B64A79" w:rsidRPr="000E7BC7" w:rsidRDefault="00B64A79" w:rsidP="00B64A79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Space take-up </w:t>
            </w:r>
            <w:r>
              <w:rPr>
                <w:rFonts w:ascii="Arial" w:hAnsi="Arial"/>
                <w:sz w:val="18"/>
                <w:szCs w:val="16"/>
              </w:rPr>
              <w:t>[m²]</w:t>
            </w:r>
          </w:p>
        </w:tc>
        <w:tc>
          <w:tcPr>
            <w:tcW w:w="1144" w:type="pct"/>
            <w:vAlign w:val="center"/>
          </w:tcPr>
          <w:p w14:paraId="53E41973" w14:textId="39D03779" w:rsidR="00B64A79" w:rsidRPr="000E7BC7" w:rsidRDefault="00B64A79" w:rsidP="00B64A79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105,000</w:t>
            </w:r>
          </w:p>
        </w:tc>
      </w:tr>
      <w:tr w:rsidR="00B64A79" w:rsidRPr="00F952F7" w14:paraId="1DDBF1A6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5B57778E" w14:textId="77777777" w:rsidR="00B64A79" w:rsidRPr="000E7BC7" w:rsidRDefault="00B64A79" w:rsidP="00B64A79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against prior </w:t>
            </w:r>
            <w:proofErr w:type="spellStart"/>
            <w:r>
              <w:rPr>
                <w:rFonts w:ascii="Arial" w:hAnsi="Arial"/>
                <w:sz w:val="18"/>
                <w:szCs w:val="16"/>
              </w:rPr>
              <w:t>yr</w:t>
            </w:r>
            <w:proofErr w:type="spellEnd"/>
            <w:r>
              <w:rPr>
                <w:rFonts w:ascii="Arial" w:hAnsi="Arial"/>
                <w:sz w:val="18"/>
                <w:szCs w:val="16"/>
              </w:rPr>
              <w:t xml:space="preserve"> [%]</w:t>
            </w:r>
          </w:p>
        </w:tc>
        <w:tc>
          <w:tcPr>
            <w:tcW w:w="1144" w:type="pct"/>
            <w:vAlign w:val="center"/>
          </w:tcPr>
          <w:p w14:paraId="45926FE8" w14:textId="03FA06DA" w:rsidR="00B64A79" w:rsidRPr="000E7BC7" w:rsidRDefault="00B64A79" w:rsidP="00B64A79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-22.2</w:t>
            </w:r>
          </w:p>
        </w:tc>
      </w:tr>
      <w:tr w:rsidR="00B64A79" w:rsidRPr="00F952F7" w14:paraId="077C5AA1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19D22308" w14:textId="77777777" w:rsidR="00B64A79" w:rsidRPr="000E7BC7" w:rsidRDefault="00B64A79" w:rsidP="00B64A79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Premium rent </w:t>
            </w:r>
            <w:r>
              <w:rPr>
                <w:rFonts w:ascii="Arial" w:hAnsi="Arial"/>
                <w:sz w:val="18"/>
                <w:szCs w:val="16"/>
              </w:rPr>
              <w:t>[€/m²/month net of services]</w:t>
            </w:r>
          </w:p>
        </w:tc>
        <w:tc>
          <w:tcPr>
            <w:tcW w:w="1144" w:type="pct"/>
            <w:vAlign w:val="center"/>
          </w:tcPr>
          <w:p w14:paraId="2D96A673" w14:textId="310A6CB8" w:rsidR="00B64A79" w:rsidRPr="000E7BC7" w:rsidRDefault="00B64A79" w:rsidP="00B64A79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/>
                <w:color w:val="000000" w:themeColor="text1"/>
                <w:sz w:val="18"/>
                <w:szCs w:val="16"/>
              </w:rPr>
              <w:t>34.50</w:t>
            </w:r>
          </w:p>
        </w:tc>
      </w:tr>
      <w:tr w:rsidR="00B64A79" w:rsidRPr="00F952F7" w14:paraId="20E3055B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8AD8597" w14:textId="77777777" w:rsidR="00B64A79" w:rsidRPr="000E7BC7" w:rsidRDefault="00B64A79" w:rsidP="00B64A79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against prior </w:t>
            </w:r>
            <w:proofErr w:type="spellStart"/>
            <w:r>
              <w:rPr>
                <w:rFonts w:ascii="Arial" w:hAnsi="Arial"/>
                <w:sz w:val="18"/>
                <w:szCs w:val="16"/>
              </w:rPr>
              <w:t>yr</w:t>
            </w:r>
            <w:proofErr w:type="spellEnd"/>
            <w:r>
              <w:rPr>
                <w:rFonts w:ascii="Arial" w:hAnsi="Arial"/>
                <w:sz w:val="18"/>
                <w:szCs w:val="16"/>
              </w:rPr>
              <w:t xml:space="preserve"> [%]</w:t>
            </w:r>
          </w:p>
        </w:tc>
        <w:tc>
          <w:tcPr>
            <w:tcW w:w="1144" w:type="pct"/>
            <w:vAlign w:val="center"/>
          </w:tcPr>
          <w:p w14:paraId="43EAC70D" w14:textId="77F99B58" w:rsidR="00B64A79" w:rsidRPr="000E7BC7" w:rsidRDefault="00B64A79" w:rsidP="00B64A79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/>
                <w:color w:val="000000" w:themeColor="text1"/>
                <w:sz w:val="18"/>
                <w:szCs w:val="16"/>
              </w:rPr>
              <w:t>+9.5</w:t>
            </w:r>
          </w:p>
        </w:tc>
      </w:tr>
      <w:tr w:rsidR="00B64A79" w:rsidRPr="00F952F7" w14:paraId="6F451023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0514069" w14:textId="77777777" w:rsidR="00B64A79" w:rsidRPr="000E7BC7" w:rsidRDefault="00B64A79" w:rsidP="00B64A79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Average rent </w:t>
            </w:r>
            <w:r>
              <w:rPr>
                <w:rFonts w:ascii="Arial" w:hAnsi="Arial"/>
                <w:sz w:val="18"/>
                <w:szCs w:val="16"/>
              </w:rPr>
              <w:t>[€/m²/month net of services]</w:t>
            </w:r>
          </w:p>
        </w:tc>
        <w:tc>
          <w:tcPr>
            <w:tcW w:w="1144" w:type="pct"/>
            <w:vAlign w:val="center"/>
          </w:tcPr>
          <w:p w14:paraId="0820D982" w14:textId="3DC96A44" w:rsidR="00B64A79" w:rsidRPr="000E7BC7" w:rsidRDefault="00B64A79" w:rsidP="00B64A79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/>
                <w:color w:val="000000" w:themeColor="text1"/>
                <w:sz w:val="18"/>
                <w:szCs w:val="16"/>
              </w:rPr>
              <w:t>21.00</w:t>
            </w:r>
          </w:p>
        </w:tc>
      </w:tr>
      <w:tr w:rsidR="00B64A79" w:rsidRPr="00F952F7" w14:paraId="0E42EFC7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7890C98" w14:textId="77777777" w:rsidR="00B64A79" w:rsidRPr="000E7BC7" w:rsidRDefault="00B64A79" w:rsidP="00B64A79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against prior </w:t>
            </w:r>
            <w:proofErr w:type="spellStart"/>
            <w:r>
              <w:rPr>
                <w:rFonts w:ascii="Arial" w:hAnsi="Arial"/>
                <w:sz w:val="18"/>
                <w:szCs w:val="16"/>
              </w:rPr>
              <w:t>yr</w:t>
            </w:r>
            <w:proofErr w:type="spellEnd"/>
            <w:r>
              <w:rPr>
                <w:rFonts w:ascii="Arial" w:hAnsi="Arial"/>
                <w:sz w:val="18"/>
                <w:szCs w:val="16"/>
              </w:rPr>
              <w:t xml:space="preserve"> [%]</w:t>
            </w:r>
          </w:p>
        </w:tc>
        <w:tc>
          <w:tcPr>
            <w:tcW w:w="1144" w:type="pct"/>
            <w:vAlign w:val="center"/>
          </w:tcPr>
          <w:p w14:paraId="6FB5030D" w14:textId="72FE90BC" w:rsidR="00B64A79" w:rsidRPr="000E7BC7" w:rsidRDefault="00B64A79" w:rsidP="00B64A79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/>
                <w:color w:val="000000" w:themeColor="text1"/>
                <w:sz w:val="18"/>
                <w:szCs w:val="16"/>
              </w:rPr>
              <w:t>+13.5</w:t>
            </w:r>
          </w:p>
        </w:tc>
      </w:tr>
      <w:tr w:rsidR="00B64A79" w:rsidRPr="00F952F7" w14:paraId="2518123F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38F5680E" w14:textId="77777777" w:rsidR="00B64A79" w:rsidRPr="000E7BC7" w:rsidRDefault="00B64A79" w:rsidP="00B64A79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Stock of office space</w:t>
            </w:r>
            <w:r>
              <w:rPr>
                <w:rFonts w:ascii="Arial" w:hAnsi="Arial"/>
                <w:sz w:val="18"/>
                <w:szCs w:val="16"/>
              </w:rPr>
              <w:t xml:space="preserve"> [millions m²]</w:t>
            </w:r>
          </w:p>
        </w:tc>
        <w:tc>
          <w:tcPr>
            <w:tcW w:w="1144" w:type="pct"/>
            <w:vAlign w:val="center"/>
          </w:tcPr>
          <w:p w14:paraId="39A5B4DB" w14:textId="2B037AED" w:rsidR="00B64A79" w:rsidRPr="000E7BC7" w:rsidRDefault="00B64A79" w:rsidP="00B64A79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/>
                <w:color w:val="000000" w:themeColor="text1"/>
                <w:sz w:val="18"/>
                <w:szCs w:val="16"/>
              </w:rPr>
              <w:t>14.16</w:t>
            </w:r>
          </w:p>
        </w:tc>
      </w:tr>
      <w:tr w:rsidR="00B64A79" w:rsidRPr="00F952F7" w14:paraId="5213204C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2780C8D0" w14:textId="77777777" w:rsidR="00B64A79" w:rsidRPr="000E7BC7" w:rsidRDefault="00B64A79" w:rsidP="00B64A79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Vacant space</w:t>
            </w:r>
            <w:r>
              <w:rPr>
                <w:rFonts w:ascii="Arial" w:hAnsi="Arial"/>
                <w:sz w:val="18"/>
                <w:szCs w:val="16"/>
              </w:rPr>
              <w:t xml:space="preserve"> incl. sub-let space [m²]</w:t>
            </w:r>
          </w:p>
        </w:tc>
        <w:tc>
          <w:tcPr>
            <w:tcW w:w="1144" w:type="pct"/>
            <w:vAlign w:val="center"/>
          </w:tcPr>
          <w:p w14:paraId="12A4A9CF" w14:textId="3F8FAF0A" w:rsidR="00B64A79" w:rsidRPr="000E7BC7" w:rsidRDefault="00B64A79" w:rsidP="00B64A79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/>
                <w:color w:val="000000" w:themeColor="text1"/>
                <w:sz w:val="18"/>
                <w:szCs w:val="16"/>
              </w:rPr>
              <w:t>563,100</w:t>
            </w:r>
          </w:p>
        </w:tc>
      </w:tr>
      <w:tr w:rsidR="00B64A79" w:rsidRPr="00F952F7" w14:paraId="64C1EF13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2CAE2FE" w14:textId="77777777" w:rsidR="00B64A79" w:rsidRPr="000E7BC7" w:rsidRDefault="00B64A79" w:rsidP="00B64A79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against prior </w:t>
            </w:r>
            <w:proofErr w:type="spellStart"/>
            <w:r>
              <w:rPr>
                <w:rFonts w:ascii="Arial" w:hAnsi="Arial"/>
                <w:sz w:val="18"/>
                <w:szCs w:val="16"/>
              </w:rPr>
              <w:t>yr</w:t>
            </w:r>
            <w:proofErr w:type="spellEnd"/>
            <w:r>
              <w:rPr>
                <w:rFonts w:ascii="Arial" w:hAnsi="Arial"/>
                <w:sz w:val="18"/>
                <w:szCs w:val="16"/>
              </w:rPr>
              <w:t xml:space="preserve"> [%]</w:t>
            </w:r>
          </w:p>
        </w:tc>
        <w:tc>
          <w:tcPr>
            <w:tcW w:w="1144" w:type="pct"/>
            <w:vAlign w:val="center"/>
          </w:tcPr>
          <w:p w14:paraId="7C730CE0" w14:textId="063ADD6A" w:rsidR="00B64A79" w:rsidRPr="000E7BC7" w:rsidRDefault="00B64A79" w:rsidP="00B64A79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/>
                <w:color w:val="000000" w:themeColor="text1"/>
                <w:sz w:val="18"/>
                <w:szCs w:val="16"/>
              </w:rPr>
              <w:t>+14.2</w:t>
            </w:r>
          </w:p>
        </w:tc>
      </w:tr>
      <w:tr w:rsidR="00B64A79" w:rsidRPr="00F952F7" w14:paraId="40CB2D96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7EFD95EC" w14:textId="77777777" w:rsidR="00B64A79" w:rsidRPr="000E7BC7" w:rsidRDefault="00B64A79" w:rsidP="00B64A79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Vacancy rate</w:t>
            </w:r>
            <w:r>
              <w:rPr>
                <w:rFonts w:ascii="Arial" w:hAnsi="Arial"/>
                <w:sz w:val="18"/>
                <w:szCs w:val="16"/>
              </w:rPr>
              <w:t xml:space="preserve"> incl. sub-let space [%]</w:t>
            </w:r>
          </w:p>
        </w:tc>
        <w:tc>
          <w:tcPr>
            <w:tcW w:w="1144" w:type="pct"/>
            <w:vAlign w:val="center"/>
          </w:tcPr>
          <w:p w14:paraId="616D7FC2" w14:textId="1B4CE9A0" w:rsidR="00B64A79" w:rsidRPr="000E7BC7" w:rsidRDefault="00B64A79" w:rsidP="00B64A79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/>
                <w:color w:val="000000" w:themeColor="text1"/>
                <w:sz w:val="18"/>
                <w:szCs w:val="16"/>
              </w:rPr>
              <w:t>4.0</w:t>
            </w:r>
          </w:p>
        </w:tc>
      </w:tr>
      <w:tr w:rsidR="00B64A79" w:rsidRPr="00F952F7" w14:paraId="5E4D6219" w14:textId="77777777" w:rsidTr="00DF03C8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4DA0B3D9" w14:textId="218F64F9" w:rsidR="00B64A79" w:rsidRPr="000E7BC7" w:rsidRDefault="00B64A79" w:rsidP="00B64A79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bCs/>
                <w:sz w:val="18"/>
                <w:szCs w:val="16"/>
              </w:rPr>
              <w:t>Completions 2023+2024</w:t>
            </w:r>
            <w:r>
              <w:rPr>
                <w:rFonts w:ascii="Arial" w:hAnsi="Arial"/>
                <w:bCs/>
                <w:sz w:val="18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6"/>
              </w:rPr>
              <w:t>[m²]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29207C4D" w14:textId="70AB68DA" w:rsidR="00B64A79" w:rsidRPr="000E7BC7" w:rsidRDefault="00B64A79" w:rsidP="00B64A79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/>
                <w:color w:val="000000" w:themeColor="text1"/>
                <w:sz w:val="18"/>
                <w:szCs w:val="16"/>
              </w:rPr>
              <w:t>395,000</w:t>
            </w:r>
          </w:p>
        </w:tc>
      </w:tr>
      <w:tr w:rsidR="00B64A79" w:rsidRPr="00F952F7" w14:paraId="39ED958F" w14:textId="77777777" w:rsidTr="00DF03C8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59B947E6" w14:textId="77777777" w:rsidR="00B64A79" w:rsidRPr="000E7BC7" w:rsidRDefault="00B64A79" w:rsidP="00B64A79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Pre-let ratio</w:t>
            </w:r>
            <w:r>
              <w:rPr>
                <w:rFonts w:ascii="Arial" w:hAnsi="Arial"/>
                <w:sz w:val="18"/>
                <w:szCs w:val="16"/>
              </w:rPr>
              <w:t xml:space="preserve"> [%]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34083532" w14:textId="7AE26934" w:rsidR="00B64A79" w:rsidRPr="000E7BC7" w:rsidRDefault="00B64A79" w:rsidP="00B64A79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/>
                <w:color w:val="000000" w:themeColor="text1"/>
                <w:sz w:val="18"/>
                <w:szCs w:val="16"/>
              </w:rPr>
              <w:t>74</w:t>
            </w:r>
          </w:p>
        </w:tc>
      </w:tr>
    </w:tbl>
    <w:p w14:paraId="2776974B" w14:textId="431E3D61" w:rsidR="001533C6" w:rsidRDefault="00D71699" w:rsidP="001533C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6B7262F" wp14:editId="09DFDCB2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2862580" cy="2326005"/>
            <wp:effectExtent l="19050" t="19050" r="13970" b="1714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&amp;B-office-market-Hamburg-1Q2023-take-u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23260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6EC8B" w14:textId="77777777" w:rsidR="001533C6" w:rsidRDefault="001533C6" w:rsidP="001533C6">
      <w:pPr>
        <w:spacing w:after="0"/>
        <w:rPr>
          <w:rFonts w:ascii="Arial" w:hAnsi="Arial" w:cs="Arial"/>
          <w:b/>
          <w:sz w:val="20"/>
          <w:szCs w:val="20"/>
        </w:rPr>
      </w:pPr>
    </w:p>
    <w:p w14:paraId="7C5FA7AA" w14:textId="77777777" w:rsidR="00123E01" w:rsidRDefault="00123E01" w:rsidP="001533C6">
      <w:pPr>
        <w:spacing w:after="0"/>
        <w:rPr>
          <w:rFonts w:ascii="Arial" w:hAnsi="Arial" w:cs="Arial"/>
          <w:b/>
          <w:sz w:val="20"/>
          <w:szCs w:val="20"/>
        </w:rPr>
      </w:pPr>
    </w:p>
    <w:p w14:paraId="034C0035" w14:textId="77777777" w:rsidR="00123E01" w:rsidRDefault="00123E01" w:rsidP="001533C6">
      <w:pPr>
        <w:spacing w:after="0"/>
        <w:rPr>
          <w:rFonts w:ascii="Arial" w:hAnsi="Arial" w:cs="Arial"/>
          <w:b/>
          <w:sz w:val="20"/>
          <w:szCs w:val="20"/>
        </w:rPr>
      </w:pPr>
    </w:p>
    <w:p w14:paraId="0E3A551C" w14:textId="77777777" w:rsidR="00D71699" w:rsidRDefault="00D71699" w:rsidP="001533C6">
      <w:pPr>
        <w:spacing w:after="0"/>
        <w:rPr>
          <w:rFonts w:ascii="Arial" w:hAnsi="Arial"/>
          <w:b/>
          <w:sz w:val="20"/>
          <w:szCs w:val="20"/>
        </w:rPr>
      </w:pPr>
    </w:p>
    <w:p w14:paraId="45388B5A" w14:textId="73544AB6" w:rsidR="001533C6" w:rsidRDefault="001533C6" w:rsidP="001533C6">
      <w:pPr>
        <w:spacing w:after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Top selected known agreements | offices in Hamburg | </w:t>
      </w:r>
      <w:r w:rsidR="00D71699">
        <w:rPr>
          <w:rFonts w:ascii="Arial" w:hAnsi="Arial"/>
          <w:b/>
          <w:sz w:val="20"/>
          <w:szCs w:val="20"/>
        </w:rPr>
        <w:t>Q1</w:t>
      </w:r>
      <w:r>
        <w:rPr>
          <w:rFonts w:ascii="Arial" w:hAnsi="Arial"/>
          <w:b/>
          <w:sz w:val="20"/>
          <w:szCs w:val="20"/>
        </w:rPr>
        <w:t xml:space="preserve"> 2023</w:t>
      </w:r>
    </w:p>
    <w:tbl>
      <w:tblPr>
        <w:tblStyle w:val="Tabellenraster"/>
        <w:tblpPr w:leftFromText="141" w:rightFromText="141" w:vertAnchor="text" w:horzAnchor="margin" w:tblpXSpec="center" w:tblpY="218"/>
        <w:tblW w:w="9634" w:type="dxa"/>
        <w:jc w:val="center"/>
        <w:tblLook w:val="04A0" w:firstRow="1" w:lastRow="0" w:firstColumn="1" w:lastColumn="0" w:noHBand="0" w:noVBand="1"/>
      </w:tblPr>
      <w:tblGrid>
        <w:gridCol w:w="2405"/>
        <w:gridCol w:w="2410"/>
        <w:gridCol w:w="2693"/>
        <w:gridCol w:w="1294"/>
        <w:gridCol w:w="832"/>
      </w:tblGrid>
      <w:tr w:rsidR="006C77F1" w:rsidRPr="0017364E" w14:paraId="60919A6D" w14:textId="77777777" w:rsidTr="0092297D">
        <w:trPr>
          <w:trHeight w:val="567"/>
          <w:jc w:val="center"/>
        </w:trPr>
        <w:tc>
          <w:tcPr>
            <w:tcW w:w="2405" w:type="dxa"/>
            <w:shd w:val="clear" w:color="auto" w:fill="000000" w:themeFill="text1"/>
            <w:vAlign w:val="center"/>
          </w:tcPr>
          <w:p w14:paraId="2546E44C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6"/>
              </w:rPr>
              <w:t>Tenant/owner-occupier</w:t>
            </w:r>
          </w:p>
          <w:p w14:paraId="2BB100F7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000000" w:themeFill="text1"/>
            <w:vAlign w:val="center"/>
          </w:tcPr>
          <w:p w14:paraId="407ED6E7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6"/>
              </w:rPr>
              <w:t>Property/project</w:t>
            </w:r>
          </w:p>
          <w:p w14:paraId="5D072738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693" w:type="dxa"/>
            <w:shd w:val="clear" w:color="auto" w:fill="000000" w:themeFill="text1"/>
            <w:vAlign w:val="center"/>
          </w:tcPr>
          <w:p w14:paraId="76787E3C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6"/>
              </w:rPr>
              <w:t>Street no.</w:t>
            </w:r>
          </w:p>
          <w:p w14:paraId="078FBD69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94" w:type="dxa"/>
            <w:shd w:val="clear" w:color="auto" w:fill="000000" w:themeFill="text1"/>
            <w:vAlign w:val="center"/>
          </w:tcPr>
          <w:p w14:paraId="30621121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6"/>
              </w:rPr>
              <w:t>Sub-market</w:t>
            </w:r>
          </w:p>
          <w:p w14:paraId="3D37EA5E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832" w:type="dxa"/>
            <w:shd w:val="clear" w:color="auto" w:fill="000000" w:themeFill="text1"/>
            <w:vAlign w:val="center"/>
          </w:tcPr>
          <w:p w14:paraId="2526E7A6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6"/>
              </w:rPr>
              <w:t>Rental area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6"/>
              </w:rPr>
              <w:br/>
            </w:r>
            <w:r>
              <w:rPr>
                <w:rFonts w:ascii="Arial" w:hAnsi="Arial"/>
                <w:color w:val="FFFFFF" w:themeColor="background1"/>
                <w:sz w:val="18"/>
                <w:szCs w:val="16"/>
              </w:rPr>
              <w:t>[ca. m²]</w:t>
            </w:r>
          </w:p>
        </w:tc>
      </w:tr>
      <w:tr w:rsidR="00CD4A02" w:rsidRPr="0017364E" w14:paraId="4F113D36" w14:textId="77777777" w:rsidTr="00DA196C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E489964" w14:textId="195CDF25" w:rsidR="00CD4A02" w:rsidRPr="00A02AEF" w:rsidRDefault="00A02AEF" w:rsidP="000456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Educational facility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3154EA" w14:textId="19705ABB" w:rsidR="00CD4A02" w:rsidRPr="00A02AEF" w:rsidRDefault="00A02AEF" w:rsidP="00045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“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Zeughaus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9368B4" w14:textId="15D65BD7" w:rsidR="00CD4A02" w:rsidRPr="00A02AEF" w:rsidRDefault="00A02AEF" w:rsidP="009229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Christoph-Probst-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Weg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26-31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724971D" w14:textId="04C4BC57" w:rsidR="00CD4A02" w:rsidRPr="00A02AEF" w:rsidRDefault="00A02AEF" w:rsidP="00045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Eppendorf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1C5DF37" w14:textId="634EAEB3" w:rsidR="00CD4A02" w:rsidRPr="00A02AEF" w:rsidRDefault="00A02AEF" w:rsidP="008A658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6,750</w:t>
            </w:r>
          </w:p>
        </w:tc>
      </w:tr>
      <w:tr w:rsidR="006C77F1" w:rsidRPr="0017364E" w14:paraId="77DBE2C5" w14:textId="77777777" w:rsidTr="0092297D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CDE409B" w14:textId="4B75B879" w:rsidR="00276FB2" w:rsidRPr="00A02AEF" w:rsidRDefault="00A02AEF" w:rsidP="000456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Telefonica Germany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616190" w14:textId="5E9B0729" w:rsidR="00276FB2" w:rsidRPr="00A02AEF" w:rsidRDefault="00A02AEF" w:rsidP="00045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“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Tichelhaus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E89055" w14:textId="65590FB6" w:rsidR="00276FB2" w:rsidRPr="00A02AEF" w:rsidRDefault="00A02AEF" w:rsidP="00045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Willy-Brandt-Strasse 69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BF5B724" w14:textId="522F6F11" w:rsidR="00276FB2" w:rsidRPr="00A02AEF" w:rsidRDefault="00A02AEF" w:rsidP="0004569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C7FA4A3" w14:textId="20C3E320" w:rsidR="00276FB2" w:rsidRPr="00A02AEF" w:rsidRDefault="00A02AEF" w:rsidP="004D3D7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6,700</w:t>
            </w:r>
          </w:p>
        </w:tc>
      </w:tr>
      <w:tr w:rsidR="00A14078" w:rsidRPr="006E2677" w14:paraId="155379B5" w14:textId="77777777" w:rsidTr="0092297D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9978C96" w14:textId="7236893B" w:rsidR="00A14078" w:rsidRPr="00A02AEF" w:rsidRDefault="00A02AEF" w:rsidP="00A14078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Manufacturing /industrial/craft trades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F93B6B" w14:textId="6D8B8024" w:rsidR="00A14078" w:rsidRPr="00A02AEF" w:rsidRDefault="00B4506C" w:rsidP="00A1407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confidential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696B69" w14:textId="1BBFE06A" w:rsidR="00A14078" w:rsidRPr="00A02AEF" w:rsidRDefault="00B4506C" w:rsidP="00A1407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confidential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84A786E" w14:textId="343ACF31" w:rsidR="00A14078" w:rsidRPr="00A02AEF" w:rsidRDefault="00A02AEF" w:rsidP="00A1407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Hamburg North-East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BFAF344" w14:textId="6068E584" w:rsidR="00A14078" w:rsidRPr="00A02AEF" w:rsidRDefault="00A02AEF" w:rsidP="004D3D75">
            <w:pPr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6,160</w:t>
            </w:r>
          </w:p>
        </w:tc>
      </w:tr>
    </w:tbl>
    <w:p w14:paraId="5AFC598B" w14:textId="77777777" w:rsidR="001533C6" w:rsidRDefault="001533C6" w:rsidP="001533C6">
      <w:pPr>
        <w:widowControl w:val="0"/>
        <w:spacing w:after="0"/>
        <w:rPr>
          <w:rFonts w:ascii="Arial" w:hAnsi="Arial" w:cs="Arial"/>
          <w:sz w:val="16"/>
          <w:szCs w:val="16"/>
        </w:rPr>
      </w:pPr>
    </w:p>
    <w:p w14:paraId="6344DC72" w14:textId="77777777" w:rsidR="00CD4CE5" w:rsidRDefault="00CD4CE5" w:rsidP="001533C6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3144B28" w14:textId="29F8F45C" w:rsidR="001533C6" w:rsidRPr="000D7B62" w:rsidRDefault="001533C6" w:rsidP="001533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D7B62">
        <w:rPr>
          <w:rFonts w:ascii="Arial" w:hAnsi="Arial" w:cs="Arial"/>
          <w:color w:val="000000" w:themeColor="text1"/>
          <w:sz w:val="20"/>
          <w:szCs w:val="20"/>
        </w:rPr>
        <w:t>The</w:t>
      </w:r>
      <w:r w:rsidR="000D7B62" w:rsidRPr="000D7B6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0D7B62" w:rsidRPr="000D7B62">
          <w:rPr>
            <w:rStyle w:val="Hyperlink"/>
            <w:rFonts w:ascii="Arial" w:hAnsi="Arial" w:cs="Arial"/>
            <w:sz w:val="20"/>
            <w:szCs w:val="20"/>
          </w:rPr>
          <w:t>M</w:t>
        </w:r>
        <w:r w:rsidRPr="000D7B62">
          <w:rPr>
            <w:rStyle w:val="Hyperlink"/>
            <w:rFonts w:ascii="Arial" w:hAnsi="Arial" w:cs="Arial"/>
            <w:sz w:val="20"/>
            <w:szCs w:val="20"/>
          </w:rPr>
          <w:t xml:space="preserve">arket </w:t>
        </w:r>
        <w:r w:rsidR="000D7B62" w:rsidRPr="000D7B62">
          <w:rPr>
            <w:rStyle w:val="Hyperlink"/>
            <w:rFonts w:ascii="Arial" w:hAnsi="Arial" w:cs="Arial"/>
            <w:sz w:val="20"/>
            <w:szCs w:val="20"/>
          </w:rPr>
          <w:t>report</w:t>
        </w:r>
        <w:r w:rsidRPr="000D7B62">
          <w:rPr>
            <w:rStyle w:val="Hyperlink"/>
            <w:rFonts w:ascii="Arial" w:hAnsi="Arial" w:cs="Arial"/>
            <w:sz w:val="20"/>
            <w:szCs w:val="20"/>
          </w:rPr>
          <w:t xml:space="preserve"> office letting in Hamburg 2023/Q1</w:t>
        </w:r>
      </w:hyperlink>
      <w:r w:rsidRPr="000D7B62">
        <w:rPr>
          <w:rFonts w:ascii="Arial" w:hAnsi="Arial" w:cs="Arial"/>
          <w:color w:val="000000" w:themeColor="text1"/>
          <w:sz w:val="20"/>
          <w:szCs w:val="20"/>
        </w:rPr>
        <w:t xml:space="preserve"> will soon be available to download from our website.</w:t>
      </w:r>
    </w:p>
    <w:p w14:paraId="351DF6B0" w14:textId="77777777" w:rsidR="00EB2E4B" w:rsidRPr="002D162D" w:rsidRDefault="00EB2E4B" w:rsidP="00EB2E4B">
      <w:pPr>
        <w:pStyle w:val="Kommentartext"/>
        <w:spacing w:after="0" w:line="360" w:lineRule="auto"/>
        <w:rPr>
          <w:rFonts w:ascii="Arial" w:hAnsi="Arial" w:cs="Arial"/>
          <w:sz w:val="16"/>
          <w:szCs w:val="16"/>
        </w:rPr>
      </w:pPr>
    </w:p>
    <w:p w14:paraId="251D2A9C" w14:textId="77777777" w:rsidR="0094331D" w:rsidRPr="002D162D" w:rsidRDefault="0094331D" w:rsidP="0094331D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2D162D">
        <w:rPr>
          <w:rFonts w:ascii="Arial" w:hAnsi="Arial" w:cs="Arial"/>
          <w:b/>
          <w:sz w:val="16"/>
          <w:szCs w:val="16"/>
        </w:rPr>
        <w:t>About Grossmann &amp; Berger</w:t>
      </w:r>
    </w:p>
    <w:p w14:paraId="6AF85E8A" w14:textId="3B244E7A" w:rsidR="0094331D" w:rsidRPr="00FF0602" w:rsidRDefault="001E1FF2" w:rsidP="0094331D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hyperlink r:id="rId10" w:history="1">
        <w:r w:rsidR="0094331D" w:rsidRPr="002D162D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="0094331D" w:rsidRPr="002D162D">
        <w:rPr>
          <w:rFonts w:ascii="Arial" w:hAnsi="Arial" w:cs="Arial"/>
          <w:snapToGrid w:val="0"/>
          <w:sz w:val="16"/>
          <w:szCs w:val="16"/>
        </w:rPr>
        <w:t xml:space="preserve"> is one of the leading service providers in the business of selling and letting commercial and residential properties. </w:t>
      </w:r>
      <w:r w:rsidR="00D71699">
        <w:rPr>
          <w:rFonts w:ascii="Arial" w:hAnsi="Arial" w:cs="Arial"/>
          <w:snapToGrid w:val="0"/>
          <w:sz w:val="16"/>
          <w:szCs w:val="16"/>
        </w:rPr>
        <w:t>Including its</w:t>
      </w:r>
      <w:r w:rsidR="0094331D" w:rsidRPr="002D162D">
        <w:rPr>
          <w:rFonts w:ascii="Arial" w:hAnsi="Arial" w:cs="Arial"/>
          <w:snapToGrid w:val="0"/>
          <w:sz w:val="16"/>
          <w:szCs w:val="16"/>
        </w:rPr>
        <w:t xml:space="preserve"> headquarters in Hamburg and</w:t>
      </w:r>
      <w:r w:rsidR="0094331D">
        <w:rPr>
          <w:rFonts w:ascii="Arial" w:hAnsi="Arial"/>
          <w:snapToGrid w:val="0"/>
          <w:sz w:val="16"/>
          <w:szCs w:val="16"/>
        </w:rPr>
        <w:t xml:space="preserve"> </w:t>
      </w:r>
      <w:r w:rsidR="00D71699">
        <w:rPr>
          <w:rFonts w:ascii="Arial" w:hAnsi="Arial"/>
          <w:snapToGrid w:val="0"/>
          <w:sz w:val="16"/>
          <w:szCs w:val="16"/>
        </w:rPr>
        <w:t xml:space="preserve">locations </w:t>
      </w:r>
      <w:r w:rsidR="0094331D">
        <w:rPr>
          <w:rFonts w:ascii="Arial" w:hAnsi="Arial"/>
          <w:snapToGrid w:val="0"/>
          <w:sz w:val="16"/>
          <w:szCs w:val="16"/>
        </w:rPr>
        <w:t>in Ber</w:t>
      </w:r>
      <w:r w:rsidR="00D71699">
        <w:rPr>
          <w:rFonts w:ascii="Arial" w:hAnsi="Arial"/>
          <w:snapToGrid w:val="0"/>
          <w:sz w:val="16"/>
          <w:szCs w:val="16"/>
        </w:rPr>
        <w:t>lin, Stuttgart and Munich, the g</w:t>
      </w:r>
      <w:r w:rsidR="0094331D">
        <w:rPr>
          <w:rFonts w:ascii="Arial" w:hAnsi="Arial"/>
          <w:snapToGrid w:val="0"/>
          <w:sz w:val="16"/>
          <w:szCs w:val="16"/>
        </w:rPr>
        <w:t xml:space="preserve">roup </w:t>
      </w:r>
      <w:r w:rsidR="00D71699">
        <w:rPr>
          <w:rFonts w:ascii="Arial" w:hAnsi="Arial"/>
          <w:snapToGrid w:val="0"/>
          <w:sz w:val="16"/>
          <w:szCs w:val="16"/>
        </w:rPr>
        <w:t xml:space="preserve">of companies consisting of </w:t>
      </w:r>
      <w:r w:rsidR="0094331D">
        <w:rPr>
          <w:rFonts w:ascii="Arial" w:hAnsi="Arial"/>
          <w:snapToGrid w:val="0"/>
          <w:sz w:val="16"/>
          <w:szCs w:val="16"/>
        </w:rPr>
        <w:t xml:space="preserve">Grossmann &amp; Berger and E &amp; G </w:t>
      </w:r>
      <w:proofErr w:type="spellStart"/>
      <w:r w:rsidR="0094331D">
        <w:rPr>
          <w:rFonts w:ascii="Arial" w:hAnsi="Arial"/>
          <w:snapToGrid w:val="0"/>
          <w:sz w:val="16"/>
          <w:szCs w:val="16"/>
        </w:rPr>
        <w:t>Immobilien</w:t>
      </w:r>
      <w:proofErr w:type="spellEnd"/>
      <w:r w:rsidR="0094331D">
        <w:rPr>
          <w:rFonts w:ascii="Arial" w:hAnsi="Arial"/>
          <w:snapToGrid w:val="0"/>
          <w:sz w:val="16"/>
          <w:szCs w:val="16"/>
        </w:rPr>
        <w:t xml:space="preserve"> has </w:t>
      </w:r>
      <w:r w:rsidR="0010030D">
        <w:rPr>
          <w:rFonts w:ascii="Arial" w:hAnsi="Arial"/>
          <w:snapToGrid w:val="0"/>
          <w:sz w:val="16"/>
          <w:szCs w:val="16"/>
        </w:rPr>
        <w:t xml:space="preserve">22 local </w:t>
      </w:r>
      <w:r w:rsidR="0094331D">
        <w:rPr>
          <w:rFonts w:ascii="Arial" w:hAnsi="Arial"/>
          <w:snapToGrid w:val="0"/>
          <w:sz w:val="16"/>
          <w:szCs w:val="16"/>
        </w:rPr>
        <w:t xml:space="preserve">offices </w:t>
      </w:r>
      <w:r w:rsidR="0010030D">
        <w:rPr>
          <w:rFonts w:ascii="Arial" w:hAnsi="Arial"/>
          <w:snapToGrid w:val="0"/>
          <w:sz w:val="16"/>
          <w:szCs w:val="16"/>
        </w:rPr>
        <w:t>throughout</w:t>
      </w:r>
      <w:r w:rsidR="0094331D">
        <w:rPr>
          <w:rFonts w:ascii="Arial" w:hAnsi="Arial"/>
          <w:snapToGrid w:val="0"/>
          <w:sz w:val="16"/>
          <w:szCs w:val="16"/>
        </w:rPr>
        <w:t xml:space="preserve"> Germany. Drawing on their comprehensive expertise in the real estate business, some 250 employees provide the full range of </w:t>
      </w:r>
      <w:r w:rsidR="0010030D">
        <w:rPr>
          <w:rFonts w:ascii="Arial" w:hAnsi="Arial"/>
          <w:snapToGrid w:val="0"/>
          <w:sz w:val="16"/>
          <w:szCs w:val="16"/>
        </w:rPr>
        <w:t>relevant</w:t>
      </w:r>
      <w:r w:rsidR="0094331D">
        <w:rPr>
          <w:rFonts w:ascii="Arial" w:hAnsi="Arial"/>
          <w:snapToGrid w:val="0"/>
          <w:sz w:val="16"/>
          <w:szCs w:val="16"/>
        </w:rPr>
        <w:t xml:space="preserve"> services. They also </w:t>
      </w:r>
      <w:r w:rsidR="0010030D">
        <w:rPr>
          <w:rFonts w:ascii="Arial" w:hAnsi="Arial"/>
          <w:snapToGrid w:val="0"/>
          <w:sz w:val="16"/>
          <w:szCs w:val="16"/>
        </w:rPr>
        <w:t>benefit from</w:t>
      </w:r>
      <w:r w:rsidR="0094331D">
        <w:rPr>
          <w:rFonts w:ascii="Arial" w:hAnsi="Arial"/>
          <w:snapToGrid w:val="0"/>
          <w:sz w:val="16"/>
          <w:szCs w:val="16"/>
        </w:rPr>
        <w:t xml:space="preserve"> the </w:t>
      </w:r>
      <w:r w:rsidR="0010030D">
        <w:rPr>
          <w:rFonts w:ascii="Arial" w:hAnsi="Arial"/>
          <w:snapToGrid w:val="0"/>
          <w:sz w:val="16"/>
          <w:szCs w:val="16"/>
        </w:rPr>
        <w:t>c</w:t>
      </w:r>
      <w:r w:rsidR="0094331D">
        <w:rPr>
          <w:rFonts w:ascii="Arial" w:hAnsi="Arial"/>
          <w:snapToGrid w:val="0"/>
          <w:sz w:val="16"/>
          <w:szCs w:val="16"/>
        </w:rPr>
        <w:t xml:space="preserve">ompany’s </w:t>
      </w:r>
      <w:r w:rsidR="0010030D">
        <w:rPr>
          <w:rFonts w:ascii="Arial" w:hAnsi="Arial"/>
          <w:snapToGrid w:val="0"/>
          <w:sz w:val="16"/>
          <w:szCs w:val="16"/>
        </w:rPr>
        <w:t>more than 90 years standing in the industry</w:t>
      </w:r>
      <w:r w:rsidR="0094331D">
        <w:rPr>
          <w:rFonts w:ascii="Arial" w:hAnsi="Arial"/>
          <w:snapToGrid w:val="0"/>
          <w:sz w:val="16"/>
          <w:szCs w:val="16"/>
        </w:rPr>
        <w:t xml:space="preserve">. </w:t>
      </w:r>
      <w:r w:rsidR="0094331D">
        <w:rPr>
          <w:rFonts w:ascii="Arial" w:hAnsi="Arial"/>
          <w:sz w:val="16"/>
          <w:szCs w:val="16"/>
        </w:rPr>
        <w:t xml:space="preserve">Grossmann &amp; Berger belongs to </w:t>
      </w:r>
      <w:r w:rsidR="0010030D">
        <w:rPr>
          <w:rFonts w:ascii="Arial" w:hAnsi="Arial"/>
          <w:sz w:val="16"/>
          <w:szCs w:val="16"/>
        </w:rPr>
        <w:t xml:space="preserve">HASPA </w:t>
      </w:r>
      <w:r w:rsidR="0094331D">
        <w:rPr>
          <w:rFonts w:ascii="Arial" w:hAnsi="Arial"/>
          <w:sz w:val="16"/>
          <w:szCs w:val="16"/>
        </w:rPr>
        <w:t xml:space="preserve">Group and is a founding member of the national commercial real estate network </w:t>
      </w:r>
      <w:hyperlink r:id="rId11" w:history="1">
        <w:r w:rsidR="0094331D">
          <w:rPr>
            <w:rStyle w:val="Hyperlink"/>
            <w:rFonts w:ascii="Arial" w:hAnsi="Arial"/>
            <w:sz w:val="16"/>
            <w:szCs w:val="16"/>
          </w:rPr>
          <w:t>German Property Partners</w:t>
        </w:r>
      </w:hyperlink>
      <w:r w:rsidR="0094331D">
        <w:rPr>
          <w:rFonts w:ascii="Arial" w:hAnsi="Arial"/>
          <w:sz w:val="16"/>
          <w:szCs w:val="16"/>
        </w:rPr>
        <w:t xml:space="preserve"> (GPP).</w:t>
      </w:r>
    </w:p>
    <w:p w14:paraId="554FB2FE" w14:textId="77777777" w:rsidR="0094331D" w:rsidRPr="00FF0602" w:rsidRDefault="0094331D" w:rsidP="0094331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D92929D" w14:textId="77777777" w:rsidR="0094331D" w:rsidRDefault="0094331D" w:rsidP="0094331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E85C204" w14:textId="488C5B1B" w:rsidR="00503D8C" w:rsidRPr="00782CDF" w:rsidRDefault="0094331D" w:rsidP="0094331D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>
        <w:rPr>
          <w:rFonts w:ascii="Arial" w:hAnsi="Arial"/>
          <w:sz w:val="16"/>
          <w:szCs w:val="16"/>
        </w:rPr>
        <w:t xml:space="preserve">Please consult our website for Grossmann &amp; Berger’s </w:t>
      </w:r>
      <w:hyperlink r:id="rId12" w:history="1">
        <w:r>
          <w:rPr>
            <w:rStyle w:val="Hyperlink"/>
            <w:rFonts w:ascii="Arial" w:hAnsi="Arial"/>
            <w:sz w:val="16"/>
            <w:szCs w:val="16"/>
          </w:rPr>
          <w:t>data privacy policy</w:t>
        </w:r>
      </w:hyperlink>
      <w:r>
        <w:rPr>
          <w:rFonts w:ascii="Arial" w:hAnsi="Arial"/>
          <w:sz w:val="16"/>
          <w:szCs w:val="16"/>
        </w:rPr>
        <w:t xml:space="preserve">. Here you will also be able to access our </w:t>
      </w:r>
      <w:hyperlink r:id="rId13" w:history="1">
        <w:r w:rsidRPr="00BE70E2">
          <w:rPr>
            <w:rStyle w:val="Hyperlink"/>
            <w:rFonts w:ascii="Arial" w:hAnsi="Arial"/>
            <w:sz w:val="16"/>
            <w:szCs w:val="16"/>
          </w:rPr>
          <w:t xml:space="preserve">press </w:t>
        </w:r>
        <w:r w:rsidR="00BE70E2" w:rsidRPr="00BE70E2">
          <w:rPr>
            <w:rStyle w:val="Hyperlink"/>
            <w:rFonts w:ascii="Arial" w:hAnsi="Arial"/>
            <w:sz w:val="16"/>
            <w:szCs w:val="16"/>
          </w:rPr>
          <w:t>portfolio</w:t>
        </w:r>
      </w:hyperlink>
      <w:r>
        <w:rPr>
          <w:rFonts w:ascii="Arial" w:hAnsi="Arial"/>
          <w:sz w:val="16"/>
          <w:szCs w:val="16"/>
        </w:rPr>
        <w:t xml:space="preserve"> and the associated </w:t>
      </w:r>
      <w:hyperlink r:id="rId14" w:history="1">
        <w:r w:rsidR="00BE70E2" w:rsidRPr="00BE70E2">
          <w:rPr>
            <w:rStyle w:val="Hyperlink"/>
            <w:rFonts w:ascii="Arial" w:hAnsi="Arial"/>
            <w:sz w:val="16"/>
            <w:szCs w:val="16"/>
          </w:rPr>
          <w:t>terms of u</w:t>
        </w:r>
        <w:r w:rsidRPr="00BE70E2">
          <w:rPr>
            <w:rStyle w:val="Hyperlink"/>
            <w:rFonts w:ascii="Arial" w:hAnsi="Arial"/>
            <w:sz w:val="16"/>
            <w:szCs w:val="16"/>
          </w:rPr>
          <w:t>se</w:t>
        </w:r>
      </w:hyperlink>
      <w:r>
        <w:rPr>
          <w:rFonts w:ascii="Arial" w:hAnsi="Arial"/>
          <w:sz w:val="16"/>
          <w:szCs w:val="16"/>
        </w:rPr>
        <w:t xml:space="preserve">. If in future you would prefer not to receive any more information from our press office please e-mail us at </w:t>
      </w:r>
      <w:hyperlink r:id="rId15" w:history="1">
        <w:r>
          <w:rPr>
            <w:rStyle w:val="Hyperlink"/>
            <w:rFonts w:ascii="Arial" w:hAnsi="Arial"/>
            <w:sz w:val="16"/>
            <w:szCs w:val="16"/>
          </w:rPr>
          <w:t>presse@grossmann-berger.de</w:t>
        </w:r>
      </w:hyperlink>
      <w:r>
        <w:rPr>
          <w:rFonts w:ascii="Arial" w:hAnsi="Arial"/>
          <w:sz w:val="16"/>
          <w:szCs w:val="16"/>
        </w:rPr>
        <w:t xml:space="preserve"> quoting as reference "</w:t>
      </w:r>
      <w:proofErr w:type="spellStart"/>
      <w:r>
        <w:rPr>
          <w:rFonts w:ascii="Arial" w:hAnsi="Arial"/>
          <w:sz w:val="16"/>
          <w:szCs w:val="16"/>
        </w:rPr>
        <w:t>Abmeldung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aus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Presseverteiler</w:t>
      </w:r>
      <w:proofErr w:type="spellEnd"/>
      <w:r>
        <w:rPr>
          <w:rFonts w:ascii="Arial" w:hAnsi="Arial"/>
          <w:sz w:val="16"/>
          <w:szCs w:val="16"/>
        </w:rPr>
        <w:t>” / “Unsubscribe from press mailing list”.</w:t>
      </w:r>
    </w:p>
    <w:sectPr w:rsidR="00503D8C" w:rsidRPr="00782CDF" w:rsidSect="00D83CB7">
      <w:headerReference w:type="default" r:id="rId16"/>
      <w:footerReference w:type="default" r:id="rId17"/>
      <w:headerReference w:type="first" r:id="rId18"/>
      <w:footerReference w:type="first" r:id="rId19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5DB3" w14:textId="77777777" w:rsidR="00511B46" w:rsidRDefault="00511B46">
      <w:r>
        <w:separator/>
      </w:r>
    </w:p>
  </w:endnote>
  <w:endnote w:type="continuationSeparator" w:id="0">
    <w:p w14:paraId="7DE4E41B" w14:textId="77777777" w:rsidR="00511B46" w:rsidRDefault="0051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0000000000000000000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964F" w14:textId="50599339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2D162D">
      <w:rPr>
        <w:rFonts w:ascii="Arial" w:hAnsi="Arial"/>
        <w:b/>
        <w:bCs/>
        <w:color w:val="918F90"/>
        <w:sz w:val="18"/>
        <w:szCs w:val="18"/>
        <w:lang w:val="de-DE"/>
      </w:rPr>
      <w:t xml:space="preserve">Grossmann &amp; Berger GmbH </w:t>
    </w:r>
    <w:r w:rsidRPr="002D162D">
      <w:rPr>
        <w:rFonts w:ascii="Arial" w:hAnsi="Arial"/>
        <w:color w:val="918F90"/>
        <w:sz w:val="18"/>
        <w:szCs w:val="18"/>
        <w:lang w:val="de-DE"/>
      </w:rPr>
      <w:t xml:space="preserve">| </w:t>
    </w:r>
    <w:proofErr w:type="spellStart"/>
    <w:r w:rsidRPr="002D162D">
      <w:rPr>
        <w:rFonts w:ascii="Arial" w:hAnsi="Arial"/>
        <w:color w:val="918F90"/>
        <w:sz w:val="18"/>
        <w:szCs w:val="18"/>
        <w:lang w:val="de-DE"/>
      </w:rPr>
      <w:t>Bleichenbrücke</w:t>
    </w:r>
    <w:proofErr w:type="spellEnd"/>
    <w:r w:rsidRPr="002D162D">
      <w:rPr>
        <w:rFonts w:ascii="Arial" w:hAnsi="Arial"/>
        <w:color w:val="918F90"/>
        <w:sz w:val="18"/>
        <w:szCs w:val="18"/>
        <w:lang w:val="de-DE"/>
      </w:rPr>
      <w:t xml:space="preserve"> 9 | 20354 Hamburg | Tel. </w:t>
    </w:r>
    <w:r>
      <w:rPr>
        <w:rFonts w:ascii="Arial" w:hAnsi="Arial"/>
        <w:color w:val="918F90"/>
        <w:sz w:val="18"/>
        <w:szCs w:val="18"/>
      </w:rPr>
      <w:t>+49 (0)40 / 350 80 2-0 | www.grossmann-berger.de</w:t>
    </w:r>
  </w:p>
  <w:p w14:paraId="6B083F2C" w14:textId="11ED683A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/>
        <w:color w:val="918F90"/>
        <w:sz w:val="18"/>
        <w:szCs w:val="18"/>
      </w:rPr>
      <w:tab/>
    </w:r>
    <w:r>
      <w:rPr>
        <w:rStyle w:val="Seitenzahl"/>
        <w:rFonts w:ascii="Arial" w:hAnsi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C572BC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>
      <w:rPr>
        <w:rStyle w:val="Seitenzahl"/>
        <w:rFonts w:ascii="Arial" w:hAnsi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C572BC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8FA3" w14:textId="77777777" w:rsidR="008C608D" w:rsidRDefault="008C608D">
    <w:pPr>
      <w:pStyle w:val="Fuzeile"/>
    </w:pPr>
    <w:r>
      <w:rPr>
        <w:noProof/>
        <w:lang w:val="de-DE" w:eastAsia="de-DE"/>
      </w:rPr>
      <w:drawing>
        <wp:anchor distT="0" distB="0" distL="0" distR="0" simplePos="0" relativeHeight="251659264" behindDoc="0" locked="0" layoutInCell="0" allowOverlap="1" wp14:anchorId="1F47B225" wp14:editId="1C89EA7E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22A3" w14:textId="77777777" w:rsidR="00511B46" w:rsidRDefault="00511B46">
      <w:r>
        <w:separator/>
      </w:r>
    </w:p>
  </w:footnote>
  <w:footnote w:type="continuationSeparator" w:id="0">
    <w:p w14:paraId="347CB137" w14:textId="77777777" w:rsidR="00511B46" w:rsidRDefault="00511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9A0F" w14:textId="77777777" w:rsidR="006138CB" w:rsidRPr="009E3ADA" w:rsidRDefault="00E5203C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Arial" w:hAnsi="Arial"/>
        <w:noProof/>
        <w:color w:val="918F90"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43D6D" wp14:editId="4D656D57">
              <wp:simplePos x="0" y="0"/>
              <wp:positionH relativeFrom="column">
                <wp:posOffset>-83516</wp:posOffset>
              </wp:positionH>
              <wp:positionV relativeFrom="paragraph">
                <wp:posOffset>22225</wp:posOffset>
              </wp:positionV>
              <wp:extent cx="4579620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5AE53" w14:textId="6F10C67C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Press contact: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Britt Finke | Tel.: +49 (0)40 / 350 80 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743D6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.75pt;width:360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" filled="f" stroked="f">
              <v:textbox style="mso-fit-shape-to-text:t">
                <w:txbxContent>
                  <w:p w14:paraId="71F5AE53" w14:textId="6F10C67C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Press contact: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Britt Finke | Tel.: +49 (0)40 / 350 80 2-993 | b.finke@grossmann-berger.de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color w:val="918F90"/>
        <w:sz w:val="28"/>
        <w:szCs w:val="28"/>
      </w:rPr>
      <w:t>Press release</w:t>
    </w:r>
  </w:p>
  <w:p w14:paraId="2B6D33E7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ACE5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Arial" w:hAnsi="Arial"/>
        <w:noProof/>
        <w:color w:val="918F90"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208E6D" wp14:editId="4704D40C">
              <wp:simplePos x="0" y="0"/>
              <wp:positionH relativeFrom="column">
                <wp:posOffset>-80341</wp:posOffset>
              </wp:positionH>
              <wp:positionV relativeFrom="paragraph">
                <wp:posOffset>21590</wp:posOffset>
              </wp:positionV>
              <wp:extent cx="4579952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9F499" w14:textId="1F8493AD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Press contact: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Britt Finke | Tel.: +49 (0)40 / 350 80 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08E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35pt;margin-top:1.7pt;width:360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" filled="f" stroked="f">
              <v:textbox style="mso-fit-shape-to-text:t">
                <w:txbxContent>
                  <w:p w14:paraId="65C9F499" w14:textId="1F8493AD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Press contact: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Britt Finke | Tel.: +49 (0)40 / 350 80 2-993 | b.finke@grossmann-berger.de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color w:val="918F90"/>
        <w:sz w:val="28"/>
        <w:szCs w:val="28"/>
      </w:rPr>
      <w:t>Press release</w:t>
    </w:r>
  </w:p>
  <w:p w14:paraId="6FE6CB11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0528E8"/>
    <w:multiLevelType w:val="hybridMultilevel"/>
    <w:tmpl w:val="0D90CF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00B82"/>
    <w:multiLevelType w:val="hybridMultilevel"/>
    <w:tmpl w:val="40A20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42410"/>
    <w:multiLevelType w:val="hybridMultilevel"/>
    <w:tmpl w:val="74541A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BD0102"/>
    <w:multiLevelType w:val="hybridMultilevel"/>
    <w:tmpl w:val="8CD674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8184946">
    <w:abstractNumId w:val="10"/>
  </w:num>
  <w:num w:numId="2" w16cid:durableId="1145390997">
    <w:abstractNumId w:val="8"/>
  </w:num>
  <w:num w:numId="3" w16cid:durableId="358359610">
    <w:abstractNumId w:val="7"/>
  </w:num>
  <w:num w:numId="4" w16cid:durableId="2123259978">
    <w:abstractNumId w:val="6"/>
  </w:num>
  <w:num w:numId="5" w16cid:durableId="2073960950">
    <w:abstractNumId w:val="5"/>
  </w:num>
  <w:num w:numId="6" w16cid:durableId="1205601119">
    <w:abstractNumId w:val="9"/>
  </w:num>
  <w:num w:numId="7" w16cid:durableId="60834414">
    <w:abstractNumId w:val="4"/>
  </w:num>
  <w:num w:numId="8" w16cid:durableId="1110314626">
    <w:abstractNumId w:val="3"/>
  </w:num>
  <w:num w:numId="9" w16cid:durableId="1401367127">
    <w:abstractNumId w:val="2"/>
  </w:num>
  <w:num w:numId="10" w16cid:durableId="1106274268">
    <w:abstractNumId w:val="1"/>
  </w:num>
  <w:num w:numId="11" w16cid:durableId="186526036">
    <w:abstractNumId w:val="0"/>
  </w:num>
  <w:num w:numId="12" w16cid:durableId="283074678">
    <w:abstractNumId w:val="14"/>
  </w:num>
  <w:num w:numId="13" w16cid:durableId="554779779">
    <w:abstractNumId w:val="18"/>
  </w:num>
  <w:num w:numId="14" w16cid:durableId="1289819847">
    <w:abstractNumId w:val="15"/>
  </w:num>
  <w:num w:numId="15" w16cid:durableId="1434595046">
    <w:abstractNumId w:val="16"/>
  </w:num>
  <w:num w:numId="16" w16cid:durableId="1554848708">
    <w:abstractNumId w:val="17"/>
  </w:num>
  <w:num w:numId="17" w16cid:durableId="1766263705">
    <w:abstractNumId w:val="13"/>
  </w:num>
  <w:num w:numId="18" w16cid:durableId="1288045892">
    <w:abstractNumId w:val="11"/>
  </w:num>
  <w:num w:numId="19" w16cid:durableId="7372407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bruch" w:val="0"/>
  </w:docVars>
  <w:rsids>
    <w:rsidRoot w:val="004661EE"/>
    <w:rsid w:val="00011DC1"/>
    <w:rsid w:val="000159FE"/>
    <w:rsid w:val="00022F16"/>
    <w:rsid w:val="00023D78"/>
    <w:rsid w:val="0002724A"/>
    <w:rsid w:val="0003075C"/>
    <w:rsid w:val="000337A2"/>
    <w:rsid w:val="0003457F"/>
    <w:rsid w:val="00041858"/>
    <w:rsid w:val="00045697"/>
    <w:rsid w:val="00051F61"/>
    <w:rsid w:val="00052659"/>
    <w:rsid w:val="000539E2"/>
    <w:rsid w:val="00055BED"/>
    <w:rsid w:val="00060743"/>
    <w:rsid w:val="00066796"/>
    <w:rsid w:val="000766D7"/>
    <w:rsid w:val="00084BE5"/>
    <w:rsid w:val="000A1B7A"/>
    <w:rsid w:val="000A2529"/>
    <w:rsid w:val="000B3315"/>
    <w:rsid w:val="000C3226"/>
    <w:rsid w:val="000C4A45"/>
    <w:rsid w:val="000C7678"/>
    <w:rsid w:val="000C770D"/>
    <w:rsid w:val="000D5E8E"/>
    <w:rsid w:val="000D7B62"/>
    <w:rsid w:val="000E03F3"/>
    <w:rsid w:val="000E3623"/>
    <w:rsid w:val="000F0E7C"/>
    <w:rsid w:val="000F1426"/>
    <w:rsid w:val="000F509A"/>
    <w:rsid w:val="0010030D"/>
    <w:rsid w:val="001029C4"/>
    <w:rsid w:val="00102F08"/>
    <w:rsid w:val="0011080A"/>
    <w:rsid w:val="0011486D"/>
    <w:rsid w:val="00116BC8"/>
    <w:rsid w:val="00121E33"/>
    <w:rsid w:val="00123E01"/>
    <w:rsid w:val="00126550"/>
    <w:rsid w:val="00126EEF"/>
    <w:rsid w:val="0012774D"/>
    <w:rsid w:val="001324D6"/>
    <w:rsid w:val="00135BD2"/>
    <w:rsid w:val="001429D0"/>
    <w:rsid w:val="00150454"/>
    <w:rsid w:val="001533C6"/>
    <w:rsid w:val="00154825"/>
    <w:rsid w:val="00155DAF"/>
    <w:rsid w:val="00165E83"/>
    <w:rsid w:val="0017516B"/>
    <w:rsid w:val="00176F1D"/>
    <w:rsid w:val="001801C0"/>
    <w:rsid w:val="00192B9D"/>
    <w:rsid w:val="00195B90"/>
    <w:rsid w:val="001A2ABE"/>
    <w:rsid w:val="001A360C"/>
    <w:rsid w:val="001B1C7B"/>
    <w:rsid w:val="001B7E4F"/>
    <w:rsid w:val="001C61D7"/>
    <w:rsid w:val="001D14DA"/>
    <w:rsid w:val="001E1FF2"/>
    <w:rsid w:val="001E6995"/>
    <w:rsid w:val="001E7013"/>
    <w:rsid w:val="001F1513"/>
    <w:rsid w:val="001F43C6"/>
    <w:rsid w:val="00205769"/>
    <w:rsid w:val="00212FEC"/>
    <w:rsid w:val="002131BB"/>
    <w:rsid w:val="0022086D"/>
    <w:rsid w:val="00227E31"/>
    <w:rsid w:val="00230F81"/>
    <w:rsid w:val="002329EC"/>
    <w:rsid w:val="00233D8F"/>
    <w:rsid w:val="00252FB8"/>
    <w:rsid w:val="00254C6F"/>
    <w:rsid w:val="0025679F"/>
    <w:rsid w:val="0027266B"/>
    <w:rsid w:val="0027363B"/>
    <w:rsid w:val="00276FB2"/>
    <w:rsid w:val="00281E80"/>
    <w:rsid w:val="002834B0"/>
    <w:rsid w:val="00283671"/>
    <w:rsid w:val="00284E27"/>
    <w:rsid w:val="0028617C"/>
    <w:rsid w:val="00287506"/>
    <w:rsid w:val="002916A0"/>
    <w:rsid w:val="002A11B2"/>
    <w:rsid w:val="002A1973"/>
    <w:rsid w:val="002A6649"/>
    <w:rsid w:val="002B3C3A"/>
    <w:rsid w:val="002C2392"/>
    <w:rsid w:val="002D162D"/>
    <w:rsid w:val="002D1C5C"/>
    <w:rsid w:val="002D1E20"/>
    <w:rsid w:val="002D584C"/>
    <w:rsid w:val="002E1809"/>
    <w:rsid w:val="002E6860"/>
    <w:rsid w:val="002F0411"/>
    <w:rsid w:val="002F4A66"/>
    <w:rsid w:val="00305C18"/>
    <w:rsid w:val="00307302"/>
    <w:rsid w:val="003100F1"/>
    <w:rsid w:val="003112F5"/>
    <w:rsid w:val="003114D1"/>
    <w:rsid w:val="00322ACC"/>
    <w:rsid w:val="0032554E"/>
    <w:rsid w:val="00325E2A"/>
    <w:rsid w:val="003263DD"/>
    <w:rsid w:val="00346B02"/>
    <w:rsid w:val="0034786C"/>
    <w:rsid w:val="003517C9"/>
    <w:rsid w:val="0035234D"/>
    <w:rsid w:val="00353937"/>
    <w:rsid w:val="003647F0"/>
    <w:rsid w:val="00366494"/>
    <w:rsid w:val="00367109"/>
    <w:rsid w:val="00370000"/>
    <w:rsid w:val="00370E8D"/>
    <w:rsid w:val="00373507"/>
    <w:rsid w:val="0038230E"/>
    <w:rsid w:val="00382529"/>
    <w:rsid w:val="003847B2"/>
    <w:rsid w:val="00387375"/>
    <w:rsid w:val="00394A86"/>
    <w:rsid w:val="003B24E3"/>
    <w:rsid w:val="003B4CCF"/>
    <w:rsid w:val="003C21E0"/>
    <w:rsid w:val="003C4FD8"/>
    <w:rsid w:val="003C6AB4"/>
    <w:rsid w:val="003D512D"/>
    <w:rsid w:val="003D6532"/>
    <w:rsid w:val="003E0779"/>
    <w:rsid w:val="003E099F"/>
    <w:rsid w:val="003E41FB"/>
    <w:rsid w:val="003E4330"/>
    <w:rsid w:val="003E7FE9"/>
    <w:rsid w:val="0040086D"/>
    <w:rsid w:val="004017D8"/>
    <w:rsid w:val="00411E03"/>
    <w:rsid w:val="004123B1"/>
    <w:rsid w:val="0041298D"/>
    <w:rsid w:val="0041737F"/>
    <w:rsid w:val="004205FA"/>
    <w:rsid w:val="00423E06"/>
    <w:rsid w:val="00423E19"/>
    <w:rsid w:val="004303A1"/>
    <w:rsid w:val="0043072A"/>
    <w:rsid w:val="004358B5"/>
    <w:rsid w:val="00435D6B"/>
    <w:rsid w:val="00440DC9"/>
    <w:rsid w:val="004506D2"/>
    <w:rsid w:val="004526F6"/>
    <w:rsid w:val="00456F40"/>
    <w:rsid w:val="004609BD"/>
    <w:rsid w:val="004634D9"/>
    <w:rsid w:val="00464972"/>
    <w:rsid w:val="00464BE1"/>
    <w:rsid w:val="004661EE"/>
    <w:rsid w:val="00466741"/>
    <w:rsid w:val="00470F6A"/>
    <w:rsid w:val="00473886"/>
    <w:rsid w:val="00475BA6"/>
    <w:rsid w:val="00477A07"/>
    <w:rsid w:val="00486DD1"/>
    <w:rsid w:val="004904E8"/>
    <w:rsid w:val="004905CF"/>
    <w:rsid w:val="004A2BEA"/>
    <w:rsid w:val="004A3C64"/>
    <w:rsid w:val="004A48F2"/>
    <w:rsid w:val="004A5AEA"/>
    <w:rsid w:val="004B0343"/>
    <w:rsid w:val="004B20F8"/>
    <w:rsid w:val="004B2FDA"/>
    <w:rsid w:val="004B480A"/>
    <w:rsid w:val="004B6696"/>
    <w:rsid w:val="004C7511"/>
    <w:rsid w:val="004D3D75"/>
    <w:rsid w:val="004D702D"/>
    <w:rsid w:val="004E0E7B"/>
    <w:rsid w:val="004E339B"/>
    <w:rsid w:val="004E4562"/>
    <w:rsid w:val="004F077F"/>
    <w:rsid w:val="004F097F"/>
    <w:rsid w:val="005023DD"/>
    <w:rsid w:val="00503D8C"/>
    <w:rsid w:val="00505113"/>
    <w:rsid w:val="0050790E"/>
    <w:rsid w:val="005111DD"/>
    <w:rsid w:val="00511B46"/>
    <w:rsid w:val="00522B84"/>
    <w:rsid w:val="00526DD0"/>
    <w:rsid w:val="00531A7F"/>
    <w:rsid w:val="005428C5"/>
    <w:rsid w:val="00543C55"/>
    <w:rsid w:val="005554C7"/>
    <w:rsid w:val="0058279B"/>
    <w:rsid w:val="00582B99"/>
    <w:rsid w:val="00590903"/>
    <w:rsid w:val="005A040F"/>
    <w:rsid w:val="005B0FC9"/>
    <w:rsid w:val="005B2E02"/>
    <w:rsid w:val="005B4202"/>
    <w:rsid w:val="005B66D3"/>
    <w:rsid w:val="005C0A26"/>
    <w:rsid w:val="005C188C"/>
    <w:rsid w:val="005C4556"/>
    <w:rsid w:val="005C5302"/>
    <w:rsid w:val="005E0B5B"/>
    <w:rsid w:val="005E362E"/>
    <w:rsid w:val="005E4B48"/>
    <w:rsid w:val="005E4D11"/>
    <w:rsid w:val="00600E64"/>
    <w:rsid w:val="0061109D"/>
    <w:rsid w:val="00612AA0"/>
    <w:rsid w:val="006138CB"/>
    <w:rsid w:val="006224C4"/>
    <w:rsid w:val="006225EA"/>
    <w:rsid w:val="006261DF"/>
    <w:rsid w:val="0062679A"/>
    <w:rsid w:val="00642074"/>
    <w:rsid w:val="00642904"/>
    <w:rsid w:val="006563EB"/>
    <w:rsid w:val="00656B29"/>
    <w:rsid w:val="00660780"/>
    <w:rsid w:val="00667A1B"/>
    <w:rsid w:val="00683F13"/>
    <w:rsid w:val="0069521D"/>
    <w:rsid w:val="00695E58"/>
    <w:rsid w:val="00697AA1"/>
    <w:rsid w:val="006A03D5"/>
    <w:rsid w:val="006A1329"/>
    <w:rsid w:val="006A66F9"/>
    <w:rsid w:val="006C77F1"/>
    <w:rsid w:val="006C7F88"/>
    <w:rsid w:val="006E1EE0"/>
    <w:rsid w:val="006E2677"/>
    <w:rsid w:val="006F2EE8"/>
    <w:rsid w:val="006F6158"/>
    <w:rsid w:val="00713A47"/>
    <w:rsid w:val="007208AB"/>
    <w:rsid w:val="00720DFF"/>
    <w:rsid w:val="0072305E"/>
    <w:rsid w:val="007466E0"/>
    <w:rsid w:val="00754C23"/>
    <w:rsid w:val="00762CC5"/>
    <w:rsid w:val="00764025"/>
    <w:rsid w:val="00774464"/>
    <w:rsid w:val="00782CDF"/>
    <w:rsid w:val="007846B3"/>
    <w:rsid w:val="007906B4"/>
    <w:rsid w:val="007A3012"/>
    <w:rsid w:val="007A4A44"/>
    <w:rsid w:val="007A4EFF"/>
    <w:rsid w:val="007A5FCF"/>
    <w:rsid w:val="007A7F58"/>
    <w:rsid w:val="007B2010"/>
    <w:rsid w:val="007D1244"/>
    <w:rsid w:val="007D1AF6"/>
    <w:rsid w:val="007D49D7"/>
    <w:rsid w:val="007E2308"/>
    <w:rsid w:val="007E759D"/>
    <w:rsid w:val="007F49FD"/>
    <w:rsid w:val="008014FA"/>
    <w:rsid w:val="008115D5"/>
    <w:rsid w:val="00812471"/>
    <w:rsid w:val="00816DC7"/>
    <w:rsid w:val="008261A5"/>
    <w:rsid w:val="0083382E"/>
    <w:rsid w:val="00851DBD"/>
    <w:rsid w:val="00853339"/>
    <w:rsid w:val="00855325"/>
    <w:rsid w:val="0086087A"/>
    <w:rsid w:val="00862E34"/>
    <w:rsid w:val="00865915"/>
    <w:rsid w:val="00866332"/>
    <w:rsid w:val="00866AE7"/>
    <w:rsid w:val="00871832"/>
    <w:rsid w:val="0087543D"/>
    <w:rsid w:val="00886CCE"/>
    <w:rsid w:val="008875CE"/>
    <w:rsid w:val="00890348"/>
    <w:rsid w:val="00895028"/>
    <w:rsid w:val="00896B33"/>
    <w:rsid w:val="008A00C5"/>
    <w:rsid w:val="008A62FB"/>
    <w:rsid w:val="008A6585"/>
    <w:rsid w:val="008A77B7"/>
    <w:rsid w:val="008B0F67"/>
    <w:rsid w:val="008B4F84"/>
    <w:rsid w:val="008B50D4"/>
    <w:rsid w:val="008C3ED0"/>
    <w:rsid w:val="008C5BC7"/>
    <w:rsid w:val="008C608D"/>
    <w:rsid w:val="008E1C5F"/>
    <w:rsid w:val="008E461D"/>
    <w:rsid w:val="008E6412"/>
    <w:rsid w:val="008F08E5"/>
    <w:rsid w:val="008F0EA4"/>
    <w:rsid w:val="008F423B"/>
    <w:rsid w:val="008F5213"/>
    <w:rsid w:val="00905B5C"/>
    <w:rsid w:val="0090748B"/>
    <w:rsid w:val="00920C9C"/>
    <w:rsid w:val="00922754"/>
    <w:rsid w:val="0092297D"/>
    <w:rsid w:val="009236AA"/>
    <w:rsid w:val="00925781"/>
    <w:rsid w:val="009258D0"/>
    <w:rsid w:val="00931052"/>
    <w:rsid w:val="00935AB3"/>
    <w:rsid w:val="00935EDC"/>
    <w:rsid w:val="0094331D"/>
    <w:rsid w:val="00945CB6"/>
    <w:rsid w:val="00957DE0"/>
    <w:rsid w:val="009635F9"/>
    <w:rsid w:val="009734CE"/>
    <w:rsid w:val="009864F4"/>
    <w:rsid w:val="00996E1A"/>
    <w:rsid w:val="009A0E66"/>
    <w:rsid w:val="009B3C8C"/>
    <w:rsid w:val="009B6858"/>
    <w:rsid w:val="009C37DF"/>
    <w:rsid w:val="009C5B77"/>
    <w:rsid w:val="009D24DA"/>
    <w:rsid w:val="009D5D75"/>
    <w:rsid w:val="009E7674"/>
    <w:rsid w:val="009F32A2"/>
    <w:rsid w:val="009F54CE"/>
    <w:rsid w:val="00A02AEF"/>
    <w:rsid w:val="00A04A9E"/>
    <w:rsid w:val="00A06264"/>
    <w:rsid w:val="00A07CA3"/>
    <w:rsid w:val="00A14078"/>
    <w:rsid w:val="00A14C92"/>
    <w:rsid w:val="00A1639A"/>
    <w:rsid w:val="00A16998"/>
    <w:rsid w:val="00A215C9"/>
    <w:rsid w:val="00A5264B"/>
    <w:rsid w:val="00A52CBD"/>
    <w:rsid w:val="00A5364B"/>
    <w:rsid w:val="00A615E0"/>
    <w:rsid w:val="00A61BBC"/>
    <w:rsid w:val="00A62338"/>
    <w:rsid w:val="00A65E2B"/>
    <w:rsid w:val="00A72D61"/>
    <w:rsid w:val="00A74AA0"/>
    <w:rsid w:val="00A7546D"/>
    <w:rsid w:val="00A77100"/>
    <w:rsid w:val="00A829BA"/>
    <w:rsid w:val="00A82B31"/>
    <w:rsid w:val="00A875B2"/>
    <w:rsid w:val="00AA4D97"/>
    <w:rsid w:val="00AC0717"/>
    <w:rsid w:val="00AD17B7"/>
    <w:rsid w:val="00AD1F61"/>
    <w:rsid w:val="00B02DA5"/>
    <w:rsid w:val="00B0619B"/>
    <w:rsid w:val="00B077D5"/>
    <w:rsid w:val="00B110AB"/>
    <w:rsid w:val="00B11C66"/>
    <w:rsid w:val="00B150EF"/>
    <w:rsid w:val="00B200E4"/>
    <w:rsid w:val="00B20D5D"/>
    <w:rsid w:val="00B30F76"/>
    <w:rsid w:val="00B35B6D"/>
    <w:rsid w:val="00B35DC6"/>
    <w:rsid w:val="00B4506C"/>
    <w:rsid w:val="00B455AF"/>
    <w:rsid w:val="00B47901"/>
    <w:rsid w:val="00B51699"/>
    <w:rsid w:val="00B53FAF"/>
    <w:rsid w:val="00B543F9"/>
    <w:rsid w:val="00B559C4"/>
    <w:rsid w:val="00B63153"/>
    <w:rsid w:val="00B64A79"/>
    <w:rsid w:val="00B6527D"/>
    <w:rsid w:val="00B73550"/>
    <w:rsid w:val="00B73B3A"/>
    <w:rsid w:val="00B74507"/>
    <w:rsid w:val="00B75718"/>
    <w:rsid w:val="00B75E7E"/>
    <w:rsid w:val="00B81983"/>
    <w:rsid w:val="00B92005"/>
    <w:rsid w:val="00B92698"/>
    <w:rsid w:val="00B93817"/>
    <w:rsid w:val="00B9622F"/>
    <w:rsid w:val="00BA0B96"/>
    <w:rsid w:val="00BB15DA"/>
    <w:rsid w:val="00BB340D"/>
    <w:rsid w:val="00BC2A3A"/>
    <w:rsid w:val="00BC64EC"/>
    <w:rsid w:val="00BD073D"/>
    <w:rsid w:val="00BD3785"/>
    <w:rsid w:val="00BE2CE1"/>
    <w:rsid w:val="00BE3639"/>
    <w:rsid w:val="00BE4060"/>
    <w:rsid w:val="00BE70E2"/>
    <w:rsid w:val="00BF3AFD"/>
    <w:rsid w:val="00BF4F54"/>
    <w:rsid w:val="00C1086F"/>
    <w:rsid w:val="00C1606C"/>
    <w:rsid w:val="00C2103E"/>
    <w:rsid w:val="00C21CCF"/>
    <w:rsid w:val="00C23180"/>
    <w:rsid w:val="00C40809"/>
    <w:rsid w:val="00C409EC"/>
    <w:rsid w:val="00C41492"/>
    <w:rsid w:val="00C519D3"/>
    <w:rsid w:val="00C572BC"/>
    <w:rsid w:val="00C57585"/>
    <w:rsid w:val="00C702B5"/>
    <w:rsid w:val="00C70389"/>
    <w:rsid w:val="00C72EED"/>
    <w:rsid w:val="00C82B6C"/>
    <w:rsid w:val="00C8617F"/>
    <w:rsid w:val="00C904B6"/>
    <w:rsid w:val="00C959FC"/>
    <w:rsid w:val="00C96DF4"/>
    <w:rsid w:val="00CA25A2"/>
    <w:rsid w:val="00CA433E"/>
    <w:rsid w:val="00CC1337"/>
    <w:rsid w:val="00CC3136"/>
    <w:rsid w:val="00CC48DF"/>
    <w:rsid w:val="00CC5FC2"/>
    <w:rsid w:val="00CD0EFC"/>
    <w:rsid w:val="00CD4A02"/>
    <w:rsid w:val="00CD4CE5"/>
    <w:rsid w:val="00CD70E7"/>
    <w:rsid w:val="00CD7363"/>
    <w:rsid w:val="00CE0C1F"/>
    <w:rsid w:val="00CE455F"/>
    <w:rsid w:val="00CE687E"/>
    <w:rsid w:val="00CF0BF9"/>
    <w:rsid w:val="00CF0C9B"/>
    <w:rsid w:val="00CF2280"/>
    <w:rsid w:val="00CF5957"/>
    <w:rsid w:val="00D04BA2"/>
    <w:rsid w:val="00D077B0"/>
    <w:rsid w:val="00D21B3B"/>
    <w:rsid w:val="00D22D42"/>
    <w:rsid w:val="00D24B4C"/>
    <w:rsid w:val="00D36D8D"/>
    <w:rsid w:val="00D408DE"/>
    <w:rsid w:val="00D45711"/>
    <w:rsid w:val="00D474B6"/>
    <w:rsid w:val="00D500FC"/>
    <w:rsid w:val="00D5104F"/>
    <w:rsid w:val="00D51597"/>
    <w:rsid w:val="00D5326E"/>
    <w:rsid w:val="00D55867"/>
    <w:rsid w:val="00D55FCD"/>
    <w:rsid w:val="00D61E9A"/>
    <w:rsid w:val="00D634A3"/>
    <w:rsid w:val="00D71699"/>
    <w:rsid w:val="00D71987"/>
    <w:rsid w:val="00D72339"/>
    <w:rsid w:val="00D73E47"/>
    <w:rsid w:val="00D74ABB"/>
    <w:rsid w:val="00D83CB7"/>
    <w:rsid w:val="00D84CB5"/>
    <w:rsid w:val="00D84D46"/>
    <w:rsid w:val="00D94696"/>
    <w:rsid w:val="00D97FA8"/>
    <w:rsid w:val="00DA054B"/>
    <w:rsid w:val="00DA196C"/>
    <w:rsid w:val="00DA7F55"/>
    <w:rsid w:val="00DC7B25"/>
    <w:rsid w:val="00DD6B73"/>
    <w:rsid w:val="00DE78EA"/>
    <w:rsid w:val="00DF4B49"/>
    <w:rsid w:val="00E02503"/>
    <w:rsid w:val="00E06E94"/>
    <w:rsid w:val="00E112C9"/>
    <w:rsid w:val="00E158F7"/>
    <w:rsid w:val="00E2087E"/>
    <w:rsid w:val="00E232EA"/>
    <w:rsid w:val="00E266BA"/>
    <w:rsid w:val="00E31133"/>
    <w:rsid w:val="00E36818"/>
    <w:rsid w:val="00E4097E"/>
    <w:rsid w:val="00E42327"/>
    <w:rsid w:val="00E47B97"/>
    <w:rsid w:val="00E5203C"/>
    <w:rsid w:val="00E550B4"/>
    <w:rsid w:val="00E634CC"/>
    <w:rsid w:val="00E70681"/>
    <w:rsid w:val="00E82F0E"/>
    <w:rsid w:val="00E90DFD"/>
    <w:rsid w:val="00E96FAC"/>
    <w:rsid w:val="00EA129F"/>
    <w:rsid w:val="00EB2E4B"/>
    <w:rsid w:val="00ED0582"/>
    <w:rsid w:val="00ED111E"/>
    <w:rsid w:val="00EE075D"/>
    <w:rsid w:val="00EE31F6"/>
    <w:rsid w:val="00EE36DC"/>
    <w:rsid w:val="00EE5F5B"/>
    <w:rsid w:val="00EE67DC"/>
    <w:rsid w:val="00EE7304"/>
    <w:rsid w:val="00F044EE"/>
    <w:rsid w:val="00F1296B"/>
    <w:rsid w:val="00F13885"/>
    <w:rsid w:val="00F23BDE"/>
    <w:rsid w:val="00F26E7B"/>
    <w:rsid w:val="00F32759"/>
    <w:rsid w:val="00F3320B"/>
    <w:rsid w:val="00F40E92"/>
    <w:rsid w:val="00F41947"/>
    <w:rsid w:val="00F435AA"/>
    <w:rsid w:val="00F448CB"/>
    <w:rsid w:val="00F45730"/>
    <w:rsid w:val="00F46E71"/>
    <w:rsid w:val="00F54848"/>
    <w:rsid w:val="00F55AD0"/>
    <w:rsid w:val="00F635B4"/>
    <w:rsid w:val="00F67DD8"/>
    <w:rsid w:val="00F71522"/>
    <w:rsid w:val="00F750C9"/>
    <w:rsid w:val="00F76C6A"/>
    <w:rsid w:val="00F829A9"/>
    <w:rsid w:val="00F83BF1"/>
    <w:rsid w:val="00F90CB9"/>
    <w:rsid w:val="00F944DB"/>
    <w:rsid w:val="00F97373"/>
    <w:rsid w:val="00FA3D62"/>
    <w:rsid w:val="00FA6854"/>
    <w:rsid w:val="00FB064F"/>
    <w:rsid w:val="00FB144F"/>
    <w:rsid w:val="00FB159A"/>
    <w:rsid w:val="00FB4D77"/>
    <w:rsid w:val="00FB6D2F"/>
    <w:rsid w:val="00FC497D"/>
    <w:rsid w:val="00FD076B"/>
    <w:rsid w:val="00FF283F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30BBF27"/>
  <w15:docId w15:val="{385DC5F4-9F6A-4647-88E0-6D8DB4A8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15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F32759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5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35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3550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5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550"/>
    <w:rPr>
      <w:b/>
      <w:bCs/>
      <w:sz w:val="20"/>
      <w:szCs w:val="20"/>
      <w:lang w:eastAsia="en-US"/>
    </w:rPr>
  </w:style>
  <w:style w:type="character" w:styleId="Hervorhebung">
    <w:name w:val="Emphasis"/>
    <w:basedOn w:val="Absatz-Standardschriftart"/>
    <w:uiPriority w:val="20"/>
    <w:qFormat/>
    <w:locked/>
    <w:rsid w:val="00B559C4"/>
    <w:rPr>
      <w:i/>
      <w:iCs/>
    </w:rPr>
  </w:style>
  <w:style w:type="paragraph" w:customStyle="1" w:styleId="GrafikBeschriftungNL">
    <w:name w:val="Grafik Beschriftung NL"/>
    <w:basedOn w:val="FliesstextNL"/>
    <w:uiPriority w:val="99"/>
    <w:rsid w:val="00E06E94"/>
    <w:pPr>
      <w:jc w:val="left"/>
    </w:pPr>
    <w:rPr>
      <w:spacing w:val="-3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rossmann-berger.de/en/company/press-portfolio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en/privac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rmanpropertypartners.de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grossmann-berger.de" TargetMode="External"/><Relationship Id="rId10" Type="http://schemas.openxmlformats.org/officeDocument/2006/relationships/hyperlink" Target="https://www.grossmann-berger.de/e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en/well-informed/market-reports-and-price-trends" TargetMode="External"/><Relationship Id="rId14" Type="http://schemas.openxmlformats.org/officeDocument/2006/relationships/hyperlink" Target="https://www.grossmann-berger.de/en/company/press-portfolio/terms-of-use-for-press-materi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6BC1-02A7-4D0C-B366-C261E543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Katharina Koester</cp:lastModifiedBy>
  <cp:revision>2</cp:revision>
  <cp:lastPrinted>2023-04-04T06:18:00Z</cp:lastPrinted>
  <dcterms:created xsi:type="dcterms:W3CDTF">2023-04-05T13:56:00Z</dcterms:created>
  <dcterms:modified xsi:type="dcterms:W3CDTF">2023-04-05T13:56:00Z</dcterms:modified>
</cp:coreProperties>
</file>