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F28A" w14:textId="419DC0C1" w:rsidR="001533C6" w:rsidRPr="006D68C7" w:rsidRDefault="006D68C7" w:rsidP="001533C6">
      <w:pPr>
        <w:spacing w:after="0" w:line="360" w:lineRule="auto"/>
        <w:rPr>
          <w:rFonts w:ascii="Arial" w:hAnsi="Arial" w:cs="Arial"/>
          <w:b/>
          <w:sz w:val="28"/>
          <w:szCs w:val="28"/>
        </w:rPr>
      </w:pPr>
      <w:r>
        <w:rPr>
          <w:rFonts w:ascii="Arial" w:hAnsi="Arial"/>
          <w:b/>
        </w:rPr>
        <w:t xml:space="preserve">Hamburg: Office </w:t>
      </w:r>
      <w:r w:rsidR="001533C6">
        <w:rPr>
          <w:rFonts w:ascii="Arial" w:hAnsi="Arial"/>
          <w:b/>
        </w:rPr>
        <w:t>letting market</w:t>
      </w:r>
      <w:r>
        <w:rPr>
          <w:rFonts w:ascii="Arial" w:hAnsi="Arial"/>
          <w:b/>
        </w:rPr>
        <w:t>,</w:t>
      </w:r>
      <w:r w:rsidR="001533C6">
        <w:rPr>
          <w:rFonts w:ascii="Arial" w:hAnsi="Arial"/>
          <w:b/>
        </w:rPr>
        <w:t xml:space="preserve"> 1st-2nd quarters or 2022</w:t>
      </w:r>
      <w:r w:rsidR="001533C6">
        <w:rPr>
          <w:rFonts w:ascii="Arial" w:hAnsi="Arial"/>
          <w:b/>
        </w:rPr>
        <w:br/>
      </w:r>
      <w:r w:rsidR="001533C6" w:rsidRPr="006D68C7">
        <w:rPr>
          <w:rFonts w:ascii="Arial" w:hAnsi="Arial"/>
          <w:b/>
          <w:sz w:val="28"/>
          <w:szCs w:val="28"/>
        </w:rPr>
        <w:t xml:space="preserve">Agreements for new-build space lead to </w:t>
      </w:r>
      <w:r w:rsidR="00DD49AB">
        <w:rPr>
          <w:rFonts w:ascii="Arial" w:hAnsi="Arial"/>
          <w:b/>
          <w:sz w:val="28"/>
          <w:szCs w:val="28"/>
        </w:rPr>
        <w:t>record increase in average rent</w:t>
      </w:r>
    </w:p>
    <w:p w14:paraId="18597652" w14:textId="77777777" w:rsidR="001533C6" w:rsidRPr="0090748B" w:rsidRDefault="001533C6" w:rsidP="001533C6">
      <w:pPr>
        <w:spacing w:after="0" w:line="360" w:lineRule="auto"/>
        <w:jc w:val="both"/>
        <w:rPr>
          <w:rFonts w:ascii="Arial" w:hAnsi="Arial" w:cs="Arial"/>
          <w:b/>
          <w:sz w:val="20"/>
          <w:szCs w:val="20"/>
        </w:rPr>
      </w:pPr>
    </w:p>
    <w:p w14:paraId="4659E9B6" w14:textId="7E93FEC7" w:rsidR="005B4202" w:rsidRDefault="001533C6" w:rsidP="00475BA6">
      <w:pPr>
        <w:pStyle w:val="FliesstextNL"/>
        <w:spacing w:line="360" w:lineRule="auto"/>
        <w:jc w:val="left"/>
        <w:rPr>
          <w:rFonts w:ascii="Arial" w:hAnsi="Arial" w:cs="Arial"/>
          <w:color w:val="auto"/>
          <w:sz w:val="20"/>
          <w:szCs w:val="20"/>
        </w:rPr>
      </w:pPr>
      <w:r>
        <w:rPr>
          <w:rFonts w:ascii="Arial" w:hAnsi="Arial"/>
          <w:b/>
          <w:color w:val="auto"/>
          <w:sz w:val="20"/>
          <w:szCs w:val="20"/>
        </w:rPr>
        <w:t>Hamburg, 5 July 2022</w:t>
      </w:r>
      <w:r>
        <w:rPr>
          <w:rFonts w:ascii="Arial" w:hAnsi="Arial"/>
          <w:color w:val="auto"/>
          <w:sz w:val="20"/>
          <w:szCs w:val="20"/>
        </w:rPr>
        <w:t xml:space="preserve"> — With transactions up by more than a third year on year, Hamburg posted a total of 305,000 m² of newly let office space between January and June 2022, a half-year result that is second only to the 310,000 m² recorded in 2019. 170,000 m² of office space was taken up in the 2nd quarter. </w:t>
      </w:r>
      <w:r>
        <w:rPr>
          <w:rFonts w:ascii="Arial" w:hAnsi="Arial"/>
          <w:i/>
          <w:color w:val="auto"/>
          <w:sz w:val="20"/>
          <w:szCs w:val="20"/>
        </w:rPr>
        <w:t>“Many firms and public sector employers have now determined what kind of offices they need for their forward-looking work environments and are now deciding on the appropriate rental space. That has provided a boost to the market for offices in Hamburg,”</w:t>
      </w:r>
      <w:r>
        <w:rPr>
          <w:rFonts w:ascii="Arial" w:hAnsi="Arial"/>
          <w:color w:val="auto"/>
          <w:sz w:val="20"/>
          <w:szCs w:val="20"/>
        </w:rPr>
        <w:t xml:space="preserve"> says</w:t>
      </w:r>
      <w:r>
        <w:rPr>
          <w:rFonts w:ascii="Arial" w:hAnsi="Arial"/>
          <w:b/>
          <w:color w:val="auto"/>
          <w:sz w:val="20"/>
          <w:szCs w:val="20"/>
        </w:rPr>
        <w:t xml:space="preserve"> Andreas </w:t>
      </w:r>
      <w:proofErr w:type="spellStart"/>
      <w:r>
        <w:rPr>
          <w:rFonts w:ascii="Arial" w:hAnsi="Arial"/>
          <w:b/>
          <w:color w:val="auto"/>
          <w:sz w:val="20"/>
          <w:szCs w:val="20"/>
        </w:rPr>
        <w:t>Rehberg</w:t>
      </w:r>
      <w:proofErr w:type="spellEnd"/>
      <w:r>
        <w:rPr>
          <w:rFonts w:ascii="Arial" w:hAnsi="Arial"/>
          <w:color w:val="auto"/>
          <w:sz w:val="20"/>
          <w:szCs w:val="20"/>
        </w:rPr>
        <w:t xml:space="preserve">, spokesperson for the management board of the GPP-member firm </w:t>
      </w:r>
      <w:bookmarkStart w:id="0" w:name="_GoBack"/>
      <w:bookmarkEnd w:id="0"/>
      <w:r>
        <w:rPr>
          <w:rFonts w:ascii="Arial" w:hAnsi="Arial"/>
          <w:color w:val="auto"/>
          <w:sz w:val="20"/>
          <w:szCs w:val="20"/>
        </w:rPr>
        <w:t>Grossmann &amp; Berger in his analysis. However, the war in Ukraine, disrupted supply chains, rising inflation and, in particular, the looming energy crisis pose risks to the economy and thus to the business of office letting. Despite this, so many clients are enquiring about office space that it seems likely that the closing total for the year could reach 550,000 m², on a par with the pre-crisis year of 2019.</w:t>
      </w:r>
    </w:p>
    <w:p w14:paraId="0E0F7BA0" w14:textId="77777777" w:rsidR="00475BA6" w:rsidRPr="00475BA6" w:rsidRDefault="00475BA6" w:rsidP="00475BA6">
      <w:pPr>
        <w:pStyle w:val="FliesstextNL"/>
        <w:spacing w:line="360" w:lineRule="auto"/>
        <w:jc w:val="left"/>
        <w:rPr>
          <w:rFonts w:ascii="Arial" w:hAnsi="Arial" w:cs="Arial"/>
          <w:b/>
          <w:color w:val="auto"/>
          <w:sz w:val="20"/>
          <w:szCs w:val="20"/>
        </w:rPr>
      </w:pPr>
    </w:p>
    <w:p w14:paraId="7491727E" w14:textId="4ACA1A25" w:rsidR="001533C6" w:rsidRDefault="001533C6" w:rsidP="001533C6">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AE24469" w14:textId="0E3701ED" w:rsidR="001533C6" w:rsidRDefault="00CD4CE5"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13 </w:t>
      </w:r>
      <w:r>
        <w:rPr>
          <w:rFonts w:ascii="Arial" w:hAnsi="Arial"/>
          <w:sz w:val="20"/>
          <w:szCs w:val="20"/>
          <w:u w:val="single"/>
        </w:rPr>
        <w:t>leases</w:t>
      </w:r>
      <w:r>
        <w:rPr>
          <w:rFonts w:ascii="Arial" w:hAnsi="Arial"/>
          <w:sz w:val="20"/>
          <w:szCs w:val="20"/>
        </w:rPr>
        <w:t xml:space="preserve"> for premises of more than 5,000 m² were </w:t>
      </w:r>
      <w:r>
        <w:rPr>
          <w:rFonts w:ascii="Arial" w:hAnsi="Arial"/>
          <w:sz w:val="20"/>
          <w:szCs w:val="20"/>
          <w:u w:val="single"/>
        </w:rPr>
        <w:t>signed</w:t>
      </w:r>
      <w:r>
        <w:rPr>
          <w:rFonts w:ascii="Arial" w:hAnsi="Arial"/>
          <w:sz w:val="20"/>
          <w:szCs w:val="20"/>
        </w:rPr>
        <w:t xml:space="preserve">, compared with seven a year ago. This segment of the market thus comprised 39 </w:t>
      </w:r>
      <w:r w:rsidR="006D68C7">
        <w:rPr>
          <w:rFonts w:ascii="Arial" w:hAnsi="Arial"/>
          <w:sz w:val="20"/>
          <w:szCs w:val="20"/>
        </w:rPr>
        <w:t>% of take-up by the end of June</w:t>
      </w:r>
      <w:r>
        <w:rPr>
          <w:rFonts w:ascii="Arial" w:hAnsi="Arial"/>
          <w:sz w:val="20"/>
          <w:szCs w:val="20"/>
        </w:rPr>
        <w:t xml:space="preserve">. No other </w:t>
      </w:r>
      <w:r>
        <w:rPr>
          <w:rFonts w:ascii="Arial" w:hAnsi="Arial"/>
          <w:sz w:val="20"/>
          <w:szCs w:val="20"/>
          <w:u w:val="single"/>
        </w:rPr>
        <w:t>size category</w:t>
      </w:r>
      <w:r>
        <w:rPr>
          <w:rFonts w:ascii="Arial" w:hAnsi="Arial"/>
          <w:sz w:val="20"/>
          <w:szCs w:val="20"/>
        </w:rPr>
        <w:t xml:space="preserve"> accounted for more than 20 % of the total. Two agreements for more than 10,000 m² were noted; in the first half of 2021 three such contracts were signed.</w:t>
      </w:r>
    </w:p>
    <w:p w14:paraId="0BDBF362" w14:textId="271DFA66" w:rsidR="00EE7304" w:rsidRPr="00EE7304" w:rsidRDefault="008F423B" w:rsidP="00EE7304">
      <w:pPr>
        <w:pStyle w:val="Listenabsatz"/>
        <w:numPr>
          <w:ilvl w:val="0"/>
          <w:numId w:val="17"/>
        </w:numPr>
        <w:spacing w:after="0" w:line="360" w:lineRule="auto"/>
        <w:rPr>
          <w:rFonts w:ascii="Arial" w:hAnsi="Arial" w:cs="Arial"/>
          <w:sz w:val="20"/>
          <w:szCs w:val="20"/>
        </w:rPr>
      </w:pPr>
      <w:r>
        <w:rPr>
          <w:rFonts w:ascii="Arial" w:hAnsi="Arial"/>
          <w:sz w:val="20"/>
          <w:szCs w:val="20"/>
        </w:rPr>
        <w:t xml:space="preserve">In May the </w:t>
      </w:r>
      <w:proofErr w:type="spellStart"/>
      <w:r>
        <w:rPr>
          <w:rFonts w:ascii="Arial" w:hAnsi="Arial"/>
          <w:sz w:val="20"/>
          <w:szCs w:val="20"/>
        </w:rPr>
        <w:t>Haspa</w:t>
      </w:r>
      <w:proofErr w:type="spellEnd"/>
      <w:r>
        <w:rPr>
          <w:rFonts w:ascii="Arial" w:hAnsi="Arial"/>
          <w:sz w:val="20"/>
          <w:szCs w:val="20"/>
        </w:rPr>
        <w:t xml:space="preserve"> (a bank) announced it was leasing 30,800 m² in the “</w:t>
      </w:r>
      <w:proofErr w:type="spellStart"/>
      <w:r>
        <w:rPr>
          <w:rFonts w:ascii="Arial" w:hAnsi="Arial"/>
          <w:sz w:val="20"/>
          <w:szCs w:val="20"/>
        </w:rPr>
        <w:t>Deutschlandhaus</w:t>
      </w:r>
      <w:proofErr w:type="spellEnd"/>
      <w:r>
        <w:rPr>
          <w:rFonts w:ascii="Arial" w:hAnsi="Arial"/>
          <w:sz w:val="20"/>
          <w:szCs w:val="20"/>
        </w:rPr>
        <w:t xml:space="preserve">” in order to merge offices now occupied at </w:t>
      </w:r>
      <w:proofErr w:type="spellStart"/>
      <w:r>
        <w:rPr>
          <w:rFonts w:ascii="Arial" w:hAnsi="Arial"/>
          <w:sz w:val="20"/>
          <w:szCs w:val="20"/>
        </w:rPr>
        <w:t>Adolphsplatz</w:t>
      </w:r>
      <w:proofErr w:type="spellEnd"/>
      <w:r>
        <w:rPr>
          <w:rFonts w:ascii="Arial" w:hAnsi="Arial"/>
          <w:sz w:val="20"/>
          <w:szCs w:val="20"/>
        </w:rPr>
        <w:t xml:space="preserve">, </w:t>
      </w:r>
      <w:proofErr w:type="spellStart"/>
      <w:r>
        <w:rPr>
          <w:rFonts w:ascii="Arial" w:hAnsi="Arial"/>
          <w:sz w:val="20"/>
          <w:szCs w:val="20"/>
        </w:rPr>
        <w:t>Wikingerweg</w:t>
      </w:r>
      <w:proofErr w:type="spellEnd"/>
      <w:r>
        <w:rPr>
          <w:rFonts w:ascii="Arial" w:hAnsi="Arial"/>
          <w:sz w:val="20"/>
          <w:szCs w:val="20"/>
        </w:rPr>
        <w:t xml:space="preserve"> and </w:t>
      </w:r>
      <w:proofErr w:type="spellStart"/>
      <w:r>
        <w:rPr>
          <w:rFonts w:ascii="Arial" w:hAnsi="Arial"/>
          <w:sz w:val="20"/>
          <w:szCs w:val="20"/>
        </w:rPr>
        <w:t>Börsenbrücke</w:t>
      </w:r>
      <w:proofErr w:type="spellEnd"/>
      <w:r>
        <w:rPr>
          <w:rFonts w:ascii="Arial" w:hAnsi="Arial"/>
          <w:sz w:val="20"/>
          <w:szCs w:val="20"/>
        </w:rPr>
        <w:t xml:space="preserve">. This was the </w:t>
      </w:r>
      <w:r>
        <w:rPr>
          <w:rFonts w:ascii="Arial" w:hAnsi="Arial"/>
          <w:sz w:val="20"/>
          <w:szCs w:val="20"/>
          <w:u w:val="single"/>
        </w:rPr>
        <w:t>largest transaction</w:t>
      </w:r>
      <w:r>
        <w:rPr>
          <w:rFonts w:ascii="Arial" w:hAnsi="Arial"/>
          <w:sz w:val="20"/>
          <w:szCs w:val="20"/>
        </w:rPr>
        <w:t xml:space="preserve"> of the year to date.</w:t>
      </w:r>
    </w:p>
    <w:p w14:paraId="0FC77410" w14:textId="250460C5" w:rsidR="00E90DFD" w:rsidRDefault="00EE7304" w:rsidP="00EE7304">
      <w:pPr>
        <w:pStyle w:val="Listenabsatz"/>
        <w:numPr>
          <w:ilvl w:val="0"/>
          <w:numId w:val="17"/>
        </w:numPr>
        <w:spacing w:after="0" w:line="360" w:lineRule="auto"/>
        <w:rPr>
          <w:rFonts w:ascii="Arial" w:hAnsi="Arial" w:cs="Arial"/>
          <w:sz w:val="20"/>
          <w:szCs w:val="20"/>
        </w:rPr>
      </w:pPr>
      <w:r>
        <w:rPr>
          <w:rFonts w:ascii="Arial" w:hAnsi="Arial"/>
          <w:i/>
          <w:sz w:val="20"/>
          <w:szCs w:val="20"/>
        </w:rPr>
        <w:t>“Most firms are looking for new-build space in central parts of Hamburg. Consequently, three quarters of office suites sized between 2,000 and 5,000 square metres were taken off-plan or in refurbished properties for correspondingly high rents,”</w:t>
      </w:r>
      <w:r>
        <w:rPr>
          <w:rFonts w:ascii="Arial" w:hAnsi="Arial"/>
          <w:sz w:val="20"/>
          <w:szCs w:val="20"/>
        </w:rPr>
        <w:t xml:space="preserve"> says </w:t>
      </w:r>
      <w:proofErr w:type="spellStart"/>
      <w:r>
        <w:rPr>
          <w:rFonts w:ascii="Arial" w:hAnsi="Arial"/>
          <w:b/>
          <w:sz w:val="20"/>
          <w:szCs w:val="20"/>
        </w:rPr>
        <w:t>Rehberg</w:t>
      </w:r>
      <w:proofErr w:type="spellEnd"/>
      <w:r w:rsidRPr="006D68C7">
        <w:rPr>
          <w:rFonts w:ascii="Arial" w:hAnsi="Arial"/>
          <w:sz w:val="20"/>
          <w:szCs w:val="20"/>
        </w:rPr>
        <w:t xml:space="preserve">, </w:t>
      </w:r>
      <w:r>
        <w:rPr>
          <w:rFonts w:ascii="Arial" w:hAnsi="Arial"/>
          <w:sz w:val="20"/>
          <w:szCs w:val="20"/>
        </w:rPr>
        <w:t>summarizing the situation.</w:t>
      </w:r>
    </w:p>
    <w:p w14:paraId="08E29E01" w14:textId="24816C00" w:rsidR="00EE7304" w:rsidRPr="00EE7304" w:rsidRDefault="00E90DFD" w:rsidP="00EE7304">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This trend explains the enormous leap in </w:t>
      </w:r>
      <w:r>
        <w:rPr>
          <w:rFonts w:ascii="Arial" w:hAnsi="Arial"/>
          <w:sz w:val="20"/>
          <w:szCs w:val="20"/>
          <w:u w:val="single"/>
        </w:rPr>
        <w:t>average rents</w:t>
      </w:r>
      <w:r>
        <w:rPr>
          <w:rFonts w:ascii="Arial" w:hAnsi="Arial"/>
          <w:sz w:val="20"/>
          <w:szCs w:val="20"/>
        </w:rPr>
        <w:t xml:space="preserve">, which climbed 15 % to €20.60/m²/month. For the first time ever, the average monthly rent has passed the €20/m² mark. Growth of some 5 % also pushed the </w:t>
      </w:r>
      <w:r>
        <w:rPr>
          <w:rFonts w:ascii="Arial" w:hAnsi="Arial"/>
          <w:sz w:val="20"/>
          <w:szCs w:val="20"/>
          <w:u w:val="single"/>
        </w:rPr>
        <w:t>premium rent</w:t>
      </w:r>
      <w:r>
        <w:rPr>
          <w:rFonts w:ascii="Arial" w:hAnsi="Arial"/>
          <w:sz w:val="20"/>
          <w:szCs w:val="20"/>
        </w:rPr>
        <w:t xml:space="preserve"> to a new high of €32.50/m²/month.</w:t>
      </w:r>
    </w:p>
    <w:p w14:paraId="035DBEF4" w14:textId="563FD9CD" w:rsidR="00642904" w:rsidRDefault="00D84CB5"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In view of the popularity of central locations, market activity was concentrated in the City and HafenCity </w:t>
      </w:r>
      <w:r>
        <w:rPr>
          <w:rFonts w:ascii="Arial" w:hAnsi="Arial"/>
          <w:sz w:val="20"/>
          <w:szCs w:val="20"/>
          <w:u w:val="single"/>
        </w:rPr>
        <w:t>sub-markets</w:t>
      </w:r>
      <w:r>
        <w:rPr>
          <w:rFonts w:ascii="Arial" w:hAnsi="Arial"/>
          <w:sz w:val="20"/>
          <w:szCs w:val="20"/>
        </w:rPr>
        <w:t xml:space="preserve">, which posted 35 % and 21 % of total take-up respectively. No other sub-market reached a two-figure share of the market. Nine of the 13 biggest agreements for more than 5,000 m² of space were noted </w:t>
      </w:r>
      <w:r w:rsidR="006D68C7">
        <w:rPr>
          <w:rFonts w:ascii="Arial" w:hAnsi="Arial"/>
          <w:sz w:val="20"/>
          <w:szCs w:val="20"/>
        </w:rPr>
        <w:t xml:space="preserve">in </w:t>
      </w:r>
      <w:r>
        <w:rPr>
          <w:rFonts w:ascii="Arial" w:hAnsi="Arial"/>
          <w:sz w:val="20"/>
          <w:szCs w:val="20"/>
        </w:rPr>
        <w:t>these two sub-markets.</w:t>
      </w:r>
    </w:p>
    <w:p w14:paraId="650993EF" w14:textId="6A935F24" w:rsidR="003D512D" w:rsidRPr="001429D0" w:rsidRDefault="005B4202" w:rsidP="00A52CBD">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The </w:t>
      </w:r>
      <w:r>
        <w:rPr>
          <w:rFonts w:ascii="Arial" w:hAnsi="Arial"/>
          <w:sz w:val="20"/>
          <w:szCs w:val="20"/>
          <w:u w:val="single"/>
        </w:rPr>
        <w:t>vacancy rate</w:t>
      </w:r>
      <w:r>
        <w:rPr>
          <w:rFonts w:ascii="Arial" w:hAnsi="Arial"/>
          <w:sz w:val="20"/>
          <w:szCs w:val="20"/>
        </w:rPr>
        <w:t xml:space="preserve"> is unchanged year on year at 3.8 %. </w:t>
      </w:r>
      <w:proofErr w:type="spellStart"/>
      <w:r>
        <w:rPr>
          <w:rFonts w:ascii="Arial" w:hAnsi="Arial"/>
          <w:b/>
          <w:sz w:val="20"/>
          <w:szCs w:val="20"/>
        </w:rPr>
        <w:t>Rehberg</w:t>
      </w:r>
      <w:proofErr w:type="spellEnd"/>
      <w:r>
        <w:rPr>
          <w:rFonts w:ascii="Arial" w:hAnsi="Arial"/>
          <w:sz w:val="20"/>
          <w:szCs w:val="20"/>
        </w:rPr>
        <w:t xml:space="preserve"> is confident that, </w:t>
      </w:r>
      <w:r>
        <w:rPr>
          <w:rFonts w:ascii="Arial" w:hAnsi="Arial"/>
          <w:i/>
          <w:sz w:val="20"/>
          <w:szCs w:val="20"/>
        </w:rPr>
        <w:t>“Considering that the pre-let ratio is 76 per cent for scheduled completions in 2022 and 2023 and that demand is obviously high, the market can easily absorb office buildings under construction, so there will be no significant rise in empty space in the new-build sector.”</w:t>
      </w:r>
      <w:r>
        <w:rPr>
          <w:rFonts w:ascii="Arial" w:hAnsi="Arial"/>
          <w:sz w:val="20"/>
          <w:szCs w:val="20"/>
        </w:rPr>
        <w:t xml:space="preserve"> However, the latest calculations show that more space in existing buildings could become vacant within the next twelve months and drive up the vacancy rate to over 4 %. </w:t>
      </w:r>
    </w:p>
    <w:p w14:paraId="4C2649DF" w14:textId="250E8670" w:rsidR="00052659" w:rsidRPr="001429D0" w:rsidRDefault="006D68C7" w:rsidP="001429D0">
      <w:pPr>
        <w:pStyle w:val="FliesstextNL"/>
        <w:spacing w:line="360" w:lineRule="auto"/>
        <w:jc w:val="left"/>
        <w:rPr>
          <w:rFonts w:ascii="Arial" w:hAnsi="Arial" w:cs="Arial"/>
          <w:color w:val="FF0000"/>
          <w:sz w:val="20"/>
          <w:szCs w:val="20"/>
        </w:rPr>
      </w:pPr>
      <w:r>
        <w:rPr>
          <w:rFonts w:ascii="Arial" w:hAnsi="Arial" w:cs="Arial"/>
          <w:noProof/>
          <w:color w:val="FF0000"/>
          <w:sz w:val="20"/>
          <w:szCs w:val="20"/>
          <w:lang w:val="de-DE"/>
        </w:rPr>
        <w:lastRenderedPageBreak/>
        <w:drawing>
          <wp:anchor distT="0" distB="0" distL="114300" distR="114300" simplePos="0" relativeHeight="251658240" behindDoc="0" locked="0" layoutInCell="1" allowOverlap="1" wp14:anchorId="4E1C9715" wp14:editId="2DE20828">
            <wp:simplePos x="0" y="0"/>
            <wp:positionH relativeFrom="margin">
              <wp:align>right</wp:align>
            </wp:positionH>
            <wp:positionV relativeFrom="paragraph">
              <wp:posOffset>253365</wp:posOffset>
            </wp:positionV>
            <wp:extent cx="2882900" cy="2419350"/>
            <wp:effectExtent l="19050" t="19050" r="12700" b="190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B-office-letting-market-HH-2022Q2-take-up.jpg"/>
                    <pic:cNvPicPr/>
                  </pic:nvPicPr>
                  <pic:blipFill>
                    <a:blip r:embed="rId8">
                      <a:extLst>
                        <a:ext uri="{28A0092B-C50C-407E-A947-70E740481C1C}">
                          <a14:useLocalDpi xmlns:a14="http://schemas.microsoft.com/office/drawing/2010/main" val="0"/>
                        </a:ext>
                      </a:extLst>
                    </a:blip>
                    <a:stretch>
                      <a:fillRect/>
                    </a:stretch>
                  </pic:blipFill>
                  <pic:spPr>
                    <a:xfrm>
                      <a:off x="0" y="0"/>
                      <a:ext cx="2882900" cy="24193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533C6" w:rsidRPr="005650DF" w14:paraId="4FF9FD53" w14:textId="77777777" w:rsidTr="001533C6">
        <w:trPr>
          <w:trHeight w:val="416"/>
        </w:trPr>
        <w:tc>
          <w:tcPr>
            <w:tcW w:w="3856" w:type="pct"/>
            <w:shd w:val="clear" w:color="auto" w:fill="000000" w:themeFill="text1"/>
            <w:vAlign w:val="center"/>
          </w:tcPr>
          <w:p w14:paraId="73ECD5FC" w14:textId="0F2B538A" w:rsidR="001533C6" w:rsidRPr="001533C6" w:rsidRDefault="001533C6" w:rsidP="00DF03C8">
            <w:pPr>
              <w:widowControl w:val="0"/>
              <w:spacing w:after="0"/>
              <w:rPr>
                <w:rFonts w:ascii="Arial" w:hAnsi="Arial" w:cs="Arial"/>
                <w:b/>
                <w:color w:val="FFFFFF" w:themeColor="background1"/>
                <w:sz w:val="18"/>
                <w:szCs w:val="16"/>
              </w:rPr>
            </w:pPr>
            <w:r>
              <w:rPr>
                <w:rFonts w:ascii="Arial" w:hAnsi="Arial"/>
                <w:b/>
                <w:color w:val="FFFFFF" w:themeColor="background1"/>
                <w:sz w:val="18"/>
                <w:szCs w:val="20"/>
              </w:rPr>
              <w:t xml:space="preserve">Office </w:t>
            </w:r>
            <w:r w:rsidR="006D68C7">
              <w:rPr>
                <w:rFonts w:ascii="Arial" w:hAnsi="Arial"/>
                <w:b/>
                <w:color w:val="FFFFFF" w:themeColor="background1"/>
                <w:sz w:val="18"/>
                <w:szCs w:val="20"/>
              </w:rPr>
              <w:t xml:space="preserve">letting </w:t>
            </w:r>
            <w:r>
              <w:rPr>
                <w:rFonts w:ascii="Arial" w:hAnsi="Arial"/>
                <w:b/>
                <w:color w:val="FFFFFF" w:themeColor="background1"/>
                <w:sz w:val="18"/>
                <w:szCs w:val="20"/>
              </w:rPr>
              <w:t>market | Hamburg | 2022</w:t>
            </w:r>
          </w:p>
        </w:tc>
        <w:tc>
          <w:tcPr>
            <w:tcW w:w="1144" w:type="pct"/>
            <w:shd w:val="clear" w:color="auto" w:fill="000000" w:themeFill="text1"/>
            <w:vAlign w:val="center"/>
          </w:tcPr>
          <w:p w14:paraId="5FDA2CEA" w14:textId="03C50AED" w:rsidR="001533C6" w:rsidRPr="001533C6" w:rsidRDefault="006D68C7" w:rsidP="00DF03C8">
            <w:pPr>
              <w:widowControl w:val="0"/>
              <w:spacing w:after="0"/>
              <w:jc w:val="center"/>
              <w:rPr>
                <w:rFonts w:ascii="Arial" w:hAnsi="Arial" w:cs="Arial"/>
                <w:b/>
                <w:color w:val="FFFFFF" w:themeColor="background1"/>
                <w:sz w:val="18"/>
                <w:szCs w:val="16"/>
              </w:rPr>
            </w:pPr>
            <w:r>
              <w:rPr>
                <w:rFonts w:ascii="Arial" w:hAnsi="Arial"/>
                <w:b/>
                <w:color w:val="FFFFFF" w:themeColor="background1"/>
                <w:sz w:val="18"/>
                <w:szCs w:val="16"/>
              </w:rPr>
              <w:t>Q1</w:t>
            </w:r>
            <w:r w:rsidR="001533C6">
              <w:rPr>
                <w:rFonts w:ascii="Arial" w:hAnsi="Arial"/>
                <w:b/>
                <w:color w:val="FFFFFF" w:themeColor="background1"/>
                <w:sz w:val="18"/>
                <w:szCs w:val="16"/>
              </w:rPr>
              <w:t>-2</w:t>
            </w:r>
          </w:p>
        </w:tc>
      </w:tr>
      <w:tr w:rsidR="001533C6" w:rsidRPr="00F952F7" w14:paraId="70B142AA" w14:textId="77777777" w:rsidTr="00DF03C8">
        <w:trPr>
          <w:trHeight w:val="283"/>
        </w:trPr>
        <w:tc>
          <w:tcPr>
            <w:tcW w:w="3856" w:type="pct"/>
            <w:vAlign w:val="center"/>
          </w:tcPr>
          <w:p w14:paraId="44783DB5" w14:textId="6BB56291"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53E41973" w14:textId="24EB2517" w:rsidR="001533C6" w:rsidRPr="000E7BC7" w:rsidRDefault="00AC0717" w:rsidP="00C82B6C">
            <w:pPr>
              <w:spacing w:after="0"/>
              <w:jc w:val="right"/>
              <w:rPr>
                <w:rFonts w:ascii="Arial" w:hAnsi="Arial" w:cs="Arial"/>
                <w:sz w:val="18"/>
                <w:szCs w:val="16"/>
              </w:rPr>
            </w:pPr>
            <w:r>
              <w:rPr>
                <w:rFonts w:ascii="Arial" w:hAnsi="Arial"/>
                <w:sz w:val="18"/>
                <w:szCs w:val="16"/>
              </w:rPr>
              <w:t>305,000</w:t>
            </w:r>
          </w:p>
        </w:tc>
      </w:tr>
      <w:tr w:rsidR="001533C6" w:rsidRPr="00F952F7" w14:paraId="1DDBF1A6" w14:textId="77777777" w:rsidTr="00DF03C8">
        <w:trPr>
          <w:trHeight w:val="283"/>
        </w:trPr>
        <w:tc>
          <w:tcPr>
            <w:tcW w:w="3856" w:type="pct"/>
            <w:vAlign w:val="center"/>
          </w:tcPr>
          <w:p w14:paraId="5B57778E"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926FE8" w14:textId="7ADB2D91" w:rsidR="001533C6" w:rsidRPr="000E7BC7" w:rsidRDefault="001533C6" w:rsidP="00C82B6C">
            <w:pPr>
              <w:spacing w:after="0"/>
              <w:jc w:val="right"/>
              <w:rPr>
                <w:rFonts w:ascii="Arial" w:hAnsi="Arial" w:cs="Arial"/>
                <w:sz w:val="18"/>
                <w:szCs w:val="16"/>
              </w:rPr>
            </w:pPr>
            <w:r>
              <w:rPr>
                <w:rFonts w:ascii="Arial" w:hAnsi="Arial"/>
                <w:sz w:val="18"/>
                <w:szCs w:val="16"/>
              </w:rPr>
              <w:t>+35.6</w:t>
            </w:r>
          </w:p>
        </w:tc>
      </w:tr>
      <w:tr w:rsidR="001533C6" w:rsidRPr="00F952F7" w14:paraId="077C5AA1" w14:textId="77777777" w:rsidTr="00DF03C8">
        <w:trPr>
          <w:trHeight w:val="283"/>
        </w:trPr>
        <w:tc>
          <w:tcPr>
            <w:tcW w:w="3856" w:type="pct"/>
            <w:vAlign w:val="center"/>
          </w:tcPr>
          <w:p w14:paraId="19D22308"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2D96A673" w14:textId="22C140ED" w:rsidR="001533C6" w:rsidRPr="000E7BC7" w:rsidRDefault="001533C6" w:rsidP="00AC0717">
            <w:pPr>
              <w:spacing w:after="0"/>
              <w:jc w:val="right"/>
              <w:rPr>
                <w:rFonts w:ascii="Arial" w:hAnsi="Arial" w:cs="Arial"/>
                <w:color w:val="000000" w:themeColor="text1"/>
                <w:sz w:val="18"/>
                <w:szCs w:val="16"/>
              </w:rPr>
            </w:pPr>
            <w:r>
              <w:rPr>
                <w:rFonts w:ascii="Arial" w:hAnsi="Arial"/>
                <w:sz w:val="18"/>
                <w:szCs w:val="16"/>
              </w:rPr>
              <w:t>32.50</w:t>
            </w:r>
          </w:p>
        </w:tc>
      </w:tr>
      <w:tr w:rsidR="001533C6" w:rsidRPr="00F952F7" w14:paraId="20E3055B" w14:textId="77777777" w:rsidTr="00DF03C8">
        <w:trPr>
          <w:trHeight w:val="283"/>
        </w:trPr>
        <w:tc>
          <w:tcPr>
            <w:tcW w:w="3856" w:type="pct"/>
            <w:vAlign w:val="center"/>
          </w:tcPr>
          <w:p w14:paraId="48AD8597"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3EAC70D" w14:textId="7E78BB0D" w:rsidR="001533C6" w:rsidRPr="000E7BC7" w:rsidRDefault="001533C6" w:rsidP="00AC0717">
            <w:pPr>
              <w:spacing w:after="0"/>
              <w:jc w:val="right"/>
              <w:rPr>
                <w:rFonts w:ascii="Arial" w:hAnsi="Arial" w:cs="Arial"/>
                <w:color w:val="000000" w:themeColor="text1"/>
                <w:sz w:val="18"/>
                <w:szCs w:val="16"/>
              </w:rPr>
            </w:pPr>
            <w:r>
              <w:rPr>
                <w:rFonts w:ascii="Arial" w:hAnsi="Arial"/>
                <w:color w:val="000000" w:themeColor="text1"/>
                <w:sz w:val="18"/>
                <w:szCs w:val="16"/>
              </w:rPr>
              <w:t>+4.8</w:t>
            </w:r>
          </w:p>
        </w:tc>
      </w:tr>
      <w:tr w:rsidR="001533C6" w:rsidRPr="00F952F7" w14:paraId="6F451023" w14:textId="77777777" w:rsidTr="00DF03C8">
        <w:trPr>
          <w:trHeight w:val="283"/>
        </w:trPr>
        <w:tc>
          <w:tcPr>
            <w:tcW w:w="3856" w:type="pct"/>
            <w:vAlign w:val="center"/>
          </w:tcPr>
          <w:p w14:paraId="40514069"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0820D982" w14:textId="4BF1776E" w:rsidR="001533C6" w:rsidRPr="000E7BC7" w:rsidRDefault="00AC0717" w:rsidP="00C82B6C">
            <w:pPr>
              <w:spacing w:after="0"/>
              <w:jc w:val="right"/>
              <w:rPr>
                <w:rFonts w:ascii="Arial" w:hAnsi="Arial" w:cs="Arial"/>
                <w:color w:val="000000" w:themeColor="text1"/>
                <w:sz w:val="18"/>
                <w:szCs w:val="16"/>
              </w:rPr>
            </w:pPr>
            <w:r>
              <w:rPr>
                <w:rFonts w:ascii="Arial" w:hAnsi="Arial"/>
                <w:sz w:val="18"/>
                <w:szCs w:val="16"/>
              </w:rPr>
              <w:t>20.60</w:t>
            </w:r>
          </w:p>
        </w:tc>
      </w:tr>
      <w:tr w:rsidR="001533C6" w:rsidRPr="00F952F7" w14:paraId="0E42EFC7" w14:textId="77777777" w:rsidTr="00DF03C8">
        <w:trPr>
          <w:trHeight w:val="283"/>
        </w:trPr>
        <w:tc>
          <w:tcPr>
            <w:tcW w:w="3856" w:type="pct"/>
            <w:vAlign w:val="center"/>
          </w:tcPr>
          <w:p w14:paraId="47890C98"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FB5030D" w14:textId="0D064603" w:rsidR="001533C6" w:rsidRPr="000E7BC7" w:rsidRDefault="001533C6" w:rsidP="00C82B6C">
            <w:pPr>
              <w:spacing w:after="0"/>
              <w:jc w:val="right"/>
              <w:rPr>
                <w:rFonts w:ascii="Arial" w:hAnsi="Arial" w:cs="Arial"/>
                <w:color w:val="000000" w:themeColor="text1"/>
                <w:sz w:val="18"/>
                <w:szCs w:val="16"/>
              </w:rPr>
            </w:pPr>
            <w:r>
              <w:rPr>
                <w:rFonts w:ascii="Arial" w:hAnsi="Arial"/>
                <w:color w:val="000000" w:themeColor="text1"/>
                <w:sz w:val="18"/>
                <w:szCs w:val="16"/>
              </w:rPr>
              <w:t>+15.1</w:t>
            </w:r>
          </w:p>
        </w:tc>
      </w:tr>
      <w:tr w:rsidR="001533C6" w:rsidRPr="00F952F7" w14:paraId="2518123F" w14:textId="77777777" w:rsidTr="00DF03C8">
        <w:trPr>
          <w:trHeight w:val="283"/>
        </w:trPr>
        <w:tc>
          <w:tcPr>
            <w:tcW w:w="3856" w:type="pct"/>
            <w:vAlign w:val="center"/>
          </w:tcPr>
          <w:p w14:paraId="38F5680E" w14:textId="77777777" w:rsidR="001533C6" w:rsidRPr="000E7BC7" w:rsidRDefault="001533C6" w:rsidP="00DF03C8">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39A5B4DB"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sz w:val="18"/>
                <w:szCs w:val="16"/>
              </w:rPr>
              <w:t>14.0</w:t>
            </w:r>
          </w:p>
        </w:tc>
      </w:tr>
      <w:tr w:rsidR="001533C6" w:rsidRPr="00F952F7" w14:paraId="5213204C" w14:textId="77777777" w:rsidTr="00DF03C8">
        <w:trPr>
          <w:trHeight w:val="283"/>
        </w:trPr>
        <w:tc>
          <w:tcPr>
            <w:tcW w:w="3856" w:type="pct"/>
            <w:vAlign w:val="center"/>
          </w:tcPr>
          <w:p w14:paraId="2780C8D0"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12A4A9CF" w14:textId="2EF5015E" w:rsidR="001533C6" w:rsidRPr="000E7BC7" w:rsidRDefault="00AC0717" w:rsidP="006E2677">
            <w:pPr>
              <w:spacing w:after="0"/>
              <w:jc w:val="right"/>
              <w:rPr>
                <w:rFonts w:ascii="Arial" w:hAnsi="Arial" w:cs="Arial"/>
                <w:color w:val="000000" w:themeColor="text1"/>
                <w:sz w:val="18"/>
                <w:szCs w:val="16"/>
              </w:rPr>
            </w:pPr>
            <w:r>
              <w:rPr>
                <w:rFonts w:ascii="Arial" w:hAnsi="Arial"/>
                <w:sz w:val="18"/>
                <w:szCs w:val="16"/>
              </w:rPr>
              <w:t>525,500</w:t>
            </w:r>
          </w:p>
        </w:tc>
      </w:tr>
      <w:tr w:rsidR="001533C6" w:rsidRPr="00F952F7" w14:paraId="64C1EF13" w14:textId="77777777" w:rsidTr="00DF03C8">
        <w:trPr>
          <w:trHeight w:val="283"/>
        </w:trPr>
        <w:tc>
          <w:tcPr>
            <w:tcW w:w="3856" w:type="pct"/>
            <w:vAlign w:val="center"/>
          </w:tcPr>
          <w:p w14:paraId="42CAE2FE"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7C730CE0" w14:textId="7B557B40" w:rsidR="001533C6" w:rsidRPr="000E7BC7" w:rsidRDefault="006C77F1" w:rsidP="00AC0717">
            <w:pPr>
              <w:spacing w:after="0"/>
              <w:jc w:val="right"/>
              <w:rPr>
                <w:rFonts w:ascii="Arial" w:hAnsi="Arial" w:cs="Arial"/>
                <w:color w:val="000000" w:themeColor="text1"/>
                <w:sz w:val="18"/>
                <w:szCs w:val="16"/>
              </w:rPr>
            </w:pPr>
            <w:r>
              <w:rPr>
                <w:rFonts w:ascii="Arial" w:hAnsi="Arial"/>
                <w:color w:val="000000" w:themeColor="text1"/>
                <w:sz w:val="18"/>
                <w:szCs w:val="16"/>
              </w:rPr>
              <w:t>-1.8</w:t>
            </w:r>
          </w:p>
        </w:tc>
      </w:tr>
      <w:tr w:rsidR="001533C6" w:rsidRPr="00F952F7" w14:paraId="40CB2D96" w14:textId="77777777" w:rsidTr="00DF03C8">
        <w:trPr>
          <w:trHeight w:val="283"/>
        </w:trPr>
        <w:tc>
          <w:tcPr>
            <w:tcW w:w="3856" w:type="pct"/>
            <w:vAlign w:val="center"/>
          </w:tcPr>
          <w:p w14:paraId="7EFD95EC"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616D7FC2" w14:textId="01062035" w:rsidR="001533C6" w:rsidRPr="000E7BC7" w:rsidRDefault="001533C6" w:rsidP="00AC0717">
            <w:pPr>
              <w:spacing w:after="0"/>
              <w:jc w:val="right"/>
              <w:rPr>
                <w:rFonts w:ascii="Arial" w:hAnsi="Arial" w:cs="Arial"/>
                <w:color w:val="000000" w:themeColor="text1"/>
                <w:sz w:val="18"/>
                <w:szCs w:val="16"/>
              </w:rPr>
            </w:pPr>
            <w:r>
              <w:rPr>
                <w:rFonts w:ascii="Arial" w:hAnsi="Arial"/>
                <w:color w:val="000000" w:themeColor="text1"/>
                <w:sz w:val="18"/>
                <w:szCs w:val="16"/>
              </w:rPr>
              <w:t>3.8</w:t>
            </w:r>
          </w:p>
        </w:tc>
      </w:tr>
      <w:tr w:rsidR="001533C6" w:rsidRPr="00F952F7" w14:paraId="5E4D6219" w14:textId="77777777" w:rsidTr="00DF03C8">
        <w:trPr>
          <w:trHeight w:val="283"/>
        </w:trPr>
        <w:tc>
          <w:tcPr>
            <w:tcW w:w="3856" w:type="pct"/>
            <w:tcBorders>
              <w:bottom w:val="single" w:sz="4" w:space="0" w:color="auto"/>
            </w:tcBorders>
            <w:vAlign w:val="center"/>
          </w:tcPr>
          <w:p w14:paraId="4DA0B3D9" w14:textId="77777777" w:rsidR="001533C6" w:rsidRPr="000E7BC7" w:rsidRDefault="001533C6" w:rsidP="00DF03C8">
            <w:pPr>
              <w:widowControl w:val="0"/>
              <w:spacing w:before="60" w:after="60"/>
              <w:rPr>
                <w:rFonts w:ascii="Arial" w:hAnsi="Arial" w:cs="Arial"/>
                <w:b/>
                <w:sz w:val="18"/>
                <w:szCs w:val="16"/>
              </w:rPr>
            </w:pPr>
            <w:r>
              <w:rPr>
                <w:rFonts w:ascii="Arial" w:hAnsi="Arial"/>
                <w:b/>
                <w:bCs/>
                <w:sz w:val="18"/>
                <w:szCs w:val="16"/>
              </w:rPr>
              <w:t>Completions 2022+2023</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29207C4D" w14:textId="5F78BF98" w:rsidR="001533C6" w:rsidRPr="000E7BC7" w:rsidRDefault="00AC0717" w:rsidP="00DF03C8">
            <w:pPr>
              <w:spacing w:after="0"/>
              <w:jc w:val="right"/>
              <w:rPr>
                <w:rFonts w:ascii="Arial" w:hAnsi="Arial" w:cs="Arial"/>
                <w:color w:val="000000" w:themeColor="text1"/>
                <w:sz w:val="18"/>
                <w:szCs w:val="16"/>
              </w:rPr>
            </w:pPr>
            <w:r>
              <w:rPr>
                <w:rFonts w:ascii="Arial" w:hAnsi="Arial"/>
                <w:sz w:val="18"/>
                <w:szCs w:val="16"/>
              </w:rPr>
              <w:t>549,000</w:t>
            </w:r>
          </w:p>
        </w:tc>
      </w:tr>
      <w:tr w:rsidR="001533C6" w:rsidRPr="00F952F7" w14:paraId="39ED958F" w14:textId="77777777" w:rsidTr="00DF03C8">
        <w:trPr>
          <w:trHeight w:val="283"/>
        </w:trPr>
        <w:tc>
          <w:tcPr>
            <w:tcW w:w="3856" w:type="pct"/>
            <w:tcBorders>
              <w:bottom w:val="single" w:sz="4" w:space="0" w:color="auto"/>
            </w:tcBorders>
            <w:vAlign w:val="center"/>
          </w:tcPr>
          <w:p w14:paraId="59B947E6"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34083532" w14:textId="0F810DC5" w:rsidR="001533C6" w:rsidRPr="000E7BC7" w:rsidRDefault="00AC0717" w:rsidP="00C82B6C">
            <w:pPr>
              <w:spacing w:after="0"/>
              <w:jc w:val="right"/>
              <w:rPr>
                <w:rFonts w:ascii="Arial" w:hAnsi="Arial" w:cs="Arial"/>
                <w:color w:val="000000" w:themeColor="text1"/>
                <w:sz w:val="18"/>
                <w:szCs w:val="16"/>
              </w:rPr>
            </w:pPr>
            <w:r>
              <w:rPr>
                <w:rFonts w:ascii="Arial" w:hAnsi="Arial"/>
                <w:color w:val="000000" w:themeColor="text1"/>
                <w:sz w:val="18"/>
                <w:szCs w:val="16"/>
              </w:rPr>
              <w:t>76</w:t>
            </w:r>
          </w:p>
        </w:tc>
      </w:tr>
    </w:tbl>
    <w:p w14:paraId="2776974B" w14:textId="5752F85A" w:rsidR="001533C6" w:rsidRDefault="001533C6" w:rsidP="001533C6">
      <w:pPr>
        <w:spacing w:after="0"/>
        <w:rPr>
          <w:rFonts w:ascii="Arial" w:hAnsi="Arial" w:cs="Arial"/>
          <w:b/>
          <w:sz w:val="20"/>
          <w:szCs w:val="20"/>
        </w:rPr>
      </w:pPr>
    </w:p>
    <w:p w14:paraId="0B96EC8B" w14:textId="77777777" w:rsidR="001533C6" w:rsidRDefault="001533C6" w:rsidP="001533C6">
      <w:pPr>
        <w:spacing w:after="0"/>
        <w:rPr>
          <w:rFonts w:ascii="Arial" w:hAnsi="Arial" w:cs="Arial"/>
          <w:b/>
          <w:sz w:val="20"/>
          <w:szCs w:val="20"/>
        </w:rPr>
      </w:pPr>
    </w:p>
    <w:p w14:paraId="1953F707" w14:textId="77777777" w:rsidR="006C77F1" w:rsidRDefault="006C77F1" w:rsidP="001533C6">
      <w:pPr>
        <w:spacing w:after="0"/>
        <w:rPr>
          <w:rFonts w:ascii="Arial" w:hAnsi="Arial" w:cs="Arial"/>
          <w:b/>
          <w:sz w:val="20"/>
          <w:szCs w:val="20"/>
        </w:rPr>
      </w:pPr>
    </w:p>
    <w:p w14:paraId="7C5FA7AA" w14:textId="77777777" w:rsidR="00123E01" w:rsidRDefault="00123E01" w:rsidP="001533C6">
      <w:pPr>
        <w:spacing w:after="0"/>
        <w:rPr>
          <w:rFonts w:ascii="Arial" w:hAnsi="Arial" w:cs="Arial"/>
          <w:b/>
          <w:sz w:val="20"/>
          <w:szCs w:val="20"/>
        </w:rPr>
      </w:pPr>
    </w:p>
    <w:p w14:paraId="034C0035" w14:textId="77777777" w:rsidR="00123E01" w:rsidRDefault="00123E01" w:rsidP="001533C6">
      <w:pPr>
        <w:spacing w:after="0"/>
        <w:rPr>
          <w:rFonts w:ascii="Arial" w:hAnsi="Arial" w:cs="Arial"/>
          <w:b/>
          <w:sz w:val="20"/>
          <w:szCs w:val="20"/>
        </w:rPr>
      </w:pPr>
    </w:p>
    <w:p w14:paraId="45388B5A" w14:textId="6F0FC49E" w:rsidR="001533C6" w:rsidRDefault="001533C6" w:rsidP="001533C6">
      <w:pPr>
        <w:spacing w:after="0"/>
        <w:rPr>
          <w:rFonts w:ascii="Arial" w:eastAsia="Arial" w:hAnsi="Arial" w:cs="Arial"/>
          <w:b/>
          <w:color w:val="000000" w:themeColor="text1"/>
          <w:sz w:val="20"/>
          <w:szCs w:val="20"/>
        </w:rPr>
      </w:pPr>
      <w:r>
        <w:rPr>
          <w:rFonts w:ascii="Arial" w:hAnsi="Arial"/>
          <w:b/>
          <w:sz w:val="20"/>
          <w:szCs w:val="20"/>
        </w:rPr>
        <w:t xml:space="preserve">Top selected known agreements | offices in Hamburg | </w:t>
      </w:r>
      <w:r w:rsidR="006D68C7">
        <w:rPr>
          <w:rFonts w:ascii="Arial" w:hAnsi="Arial"/>
          <w:b/>
          <w:sz w:val="20"/>
          <w:szCs w:val="20"/>
        </w:rPr>
        <w:t>Q</w:t>
      </w:r>
      <w:r w:rsidR="00551FD1">
        <w:rPr>
          <w:rFonts w:ascii="Arial" w:hAnsi="Arial"/>
          <w:b/>
          <w:sz w:val="20"/>
          <w:szCs w:val="20"/>
        </w:rPr>
        <w:t>1-2</w:t>
      </w:r>
      <w:r w:rsidR="006D68C7">
        <w:rPr>
          <w:rFonts w:ascii="Arial" w:hAnsi="Arial"/>
          <w:b/>
          <w:sz w:val="20"/>
          <w:szCs w:val="20"/>
        </w:rPr>
        <w:t xml:space="preserve"> </w:t>
      </w:r>
      <w:r>
        <w:rPr>
          <w:rFonts w:ascii="Arial" w:hAnsi="Arial"/>
          <w:b/>
          <w:sz w:val="20"/>
          <w:szCs w:val="20"/>
        </w:rPr>
        <w:t>2022</w:t>
      </w:r>
    </w:p>
    <w:tbl>
      <w:tblPr>
        <w:tblStyle w:val="Tabellenraster"/>
        <w:tblpPr w:leftFromText="141" w:rightFromText="141" w:vertAnchor="text" w:horzAnchor="margin" w:tblpXSpec="center" w:tblpY="218"/>
        <w:tblW w:w="9634" w:type="dxa"/>
        <w:jc w:val="center"/>
        <w:tblLook w:val="04A0" w:firstRow="1" w:lastRow="0" w:firstColumn="1" w:lastColumn="0" w:noHBand="0" w:noVBand="1"/>
      </w:tblPr>
      <w:tblGrid>
        <w:gridCol w:w="2405"/>
        <w:gridCol w:w="2410"/>
        <w:gridCol w:w="2551"/>
        <w:gridCol w:w="1436"/>
        <w:gridCol w:w="832"/>
      </w:tblGrid>
      <w:tr w:rsidR="006C77F1" w:rsidRPr="0017364E" w14:paraId="60919A6D" w14:textId="77777777" w:rsidTr="006D68C7">
        <w:trPr>
          <w:trHeight w:val="567"/>
          <w:jc w:val="center"/>
        </w:trPr>
        <w:tc>
          <w:tcPr>
            <w:tcW w:w="2405" w:type="dxa"/>
            <w:shd w:val="clear" w:color="auto" w:fill="000000" w:themeFill="text1"/>
            <w:vAlign w:val="center"/>
          </w:tcPr>
          <w:p w14:paraId="2546E44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Tenant/owner-occupier</w:t>
            </w:r>
          </w:p>
          <w:p w14:paraId="2BB100F7"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410" w:type="dxa"/>
            <w:shd w:val="clear" w:color="auto" w:fill="000000" w:themeFill="text1"/>
            <w:vAlign w:val="center"/>
          </w:tcPr>
          <w:p w14:paraId="407ED6E7"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Property/project</w:t>
            </w:r>
          </w:p>
          <w:p w14:paraId="5D072738"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551" w:type="dxa"/>
            <w:shd w:val="clear" w:color="auto" w:fill="000000" w:themeFill="text1"/>
            <w:vAlign w:val="center"/>
          </w:tcPr>
          <w:p w14:paraId="76787E3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Street no.</w:t>
            </w:r>
          </w:p>
          <w:p w14:paraId="078FBD69"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1436" w:type="dxa"/>
            <w:shd w:val="clear" w:color="auto" w:fill="000000" w:themeFill="text1"/>
            <w:vAlign w:val="center"/>
          </w:tcPr>
          <w:p w14:paraId="30621121"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Sub-market</w:t>
            </w:r>
          </w:p>
          <w:p w14:paraId="3D37EA5E"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832" w:type="dxa"/>
            <w:shd w:val="clear" w:color="auto" w:fill="000000" w:themeFill="text1"/>
            <w:vAlign w:val="center"/>
          </w:tcPr>
          <w:p w14:paraId="2526E7A6"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Rental area</w:t>
            </w:r>
            <w:r>
              <w:rPr>
                <w:rFonts w:ascii="Arial" w:hAnsi="Arial"/>
                <w:b/>
                <w:color w:val="FFFFFF" w:themeColor="background1"/>
                <w:sz w:val="18"/>
                <w:szCs w:val="16"/>
              </w:rPr>
              <w:br/>
            </w:r>
            <w:r>
              <w:rPr>
                <w:rFonts w:ascii="Arial" w:hAnsi="Arial"/>
                <w:color w:val="FFFFFF" w:themeColor="background1"/>
                <w:sz w:val="18"/>
                <w:szCs w:val="16"/>
              </w:rPr>
              <w:t>[ca. m²]</w:t>
            </w:r>
          </w:p>
        </w:tc>
      </w:tr>
      <w:tr w:rsidR="006C77F1" w:rsidRPr="0017364E" w14:paraId="77DBE2C5" w14:textId="77777777" w:rsidTr="006D68C7">
        <w:trPr>
          <w:trHeight w:val="567"/>
          <w:jc w:val="center"/>
        </w:trPr>
        <w:tc>
          <w:tcPr>
            <w:tcW w:w="2405" w:type="dxa"/>
            <w:shd w:val="clear" w:color="auto" w:fill="D9D9D9" w:themeFill="background1" w:themeFillShade="D9"/>
            <w:vAlign w:val="center"/>
          </w:tcPr>
          <w:p w14:paraId="4CDE409B" w14:textId="764BF4B7" w:rsidR="00276FB2" w:rsidRPr="006C77F1" w:rsidRDefault="00A14078" w:rsidP="00045697">
            <w:pPr>
              <w:spacing w:before="60" w:after="60"/>
              <w:rPr>
                <w:rFonts w:ascii="Arial" w:hAnsi="Arial" w:cs="Arial"/>
                <w:sz w:val="20"/>
                <w:szCs w:val="20"/>
              </w:rPr>
            </w:pPr>
            <w:r>
              <w:rPr>
                <w:rFonts w:ascii="Arial" w:hAnsi="Arial"/>
                <w:sz w:val="20"/>
                <w:szCs w:val="20"/>
              </w:rPr>
              <w:t xml:space="preserve">Hamburger </w:t>
            </w:r>
            <w:proofErr w:type="spellStart"/>
            <w:r>
              <w:rPr>
                <w:rFonts w:ascii="Arial" w:hAnsi="Arial"/>
                <w:sz w:val="20"/>
                <w:szCs w:val="20"/>
              </w:rPr>
              <w:t>Sparkasse</w:t>
            </w:r>
            <w:proofErr w:type="spellEnd"/>
          </w:p>
        </w:tc>
        <w:tc>
          <w:tcPr>
            <w:tcW w:w="2410" w:type="dxa"/>
            <w:shd w:val="clear" w:color="auto" w:fill="D9D9D9" w:themeFill="background1" w:themeFillShade="D9"/>
            <w:vAlign w:val="center"/>
          </w:tcPr>
          <w:p w14:paraId="05616190" w14:textId="2B5C2FF8" w:rsidR="00276FB2" w:rsidRPr="006C77F1" w:rsidRDefault="00A14078" w:rsidP="00045697">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Deutschlandhaus</w:t>
            </w:r>
            <w:proofErr w:type="spellEnd"/>
            <w:r>
              <w:rPr>
                <w:rFonts w:ascii="Arial" w:hAnsi="Arial"/>
                <w:color w:val="000000"/>
                <w:sz w:val="20"/>
                <w:szCs w:val="20"/>
              </w:rPr>
              <w:t>”</w:t>
            </w:r>
          </w:p>
        </w:tc>
        <w:tc>
          <w:tcPr>
            <w:tcW w:w="2551" w:type="dxa"/>
            <w:shd w:val="clear" w:color="auto" w:fill="D9D9D9" w:themeFill="background1" w:themeFillShade="D9"/>
            <w:vAlign w:val="center"/>
          </w:tcPr>
          <w:p w14:paraId="03E89055" w14:textId="256D4582" w:rsidR="00276FB2" w:rsidRPr="006C77F1" w:rsidRDefault="00A14078" w:rsidP="00045697">
            <w:pPr>
              <w:spacing w:after="0"/>
              <w:rPr>
                <w:rFonts w:ascii="Arial" w:hAnsi="Arial" w:cs="Arial"/>
                <w:color w:val="000000"/>
                <w:sz w:val="20"/>
                <w:szCs w:val="20"/>
              </w:rPr>
            </w:pPr>
            <w:proofErr w:type="spellStart"/>
            <w:r>
              <w:rPr>
                <w:rFonts w:ascii="Arial" w:hAnsi="Arial"/>
                <w:color w:val="000000"/>
                <w:sz w:val="20"/>
                <w:szCs w:val="20"/>
              </w:rPr>
              <w:t>Dammtorstrasse</w:t>
            </w:r>
            <w:proofErr w:type="spellEnd"/>
            <w:r>
              <w:rPr>
                <w:rFonts w:ascii="Arial" w:hAnsi="Arial"/>
                <w:color w:val="000000"/>
                <w:sz w:val="20"/>
                <w:szCs w:val="20"/>
              </w:rPr>
              <w:t xml:space="preserve"> 1</w:t>
            </w:r>
          </w:p>
        </w:tc>
        <w:tc>
          <w:tcPr>
            <w:tcW w:w="1436" w:type="dxa"/>
            <w:shd w:val="clear" w:color="auto" w:fill="D9D9D9" w:themeFill="background1" w:themeFillShade="D9"/>
            <w:vAlign w:val="center"/>
          </w:tcPr>
          <w:p w14:paraId="0BF5B724" w14:textId="7582D84E" w:rsidR="00276FB2" w:rsidRPr="006C77F1" w:rsidRDefault="00A14078" w:rsidP="00045697">
            <w:pPr>
              <w:spacing w:after="0"/>
              <w:rPr>
                <w:rFonts w:ascii="Arial" w:hAnsi="Arial" w:cs="Arial"/>
                <w:color w:val="000000"/>
                <w:sz w:val="20"/>
                <w:szCs w:val="20"/>
              </w:rPr>
            </w:pPr>
            <w:r>
              <w:rPr>
                <w:rFonts w:ascii="Arial" w:hAnsi="Arial"/>
                <w:color w:val="000000"/>
                <w:sz w:val="20"/>
                <w:szCs w:val="20"/>
              </w:rPr>
              <w:t>City</w:t>
            </w:r>
          </w:p>
        </w:tc>
        <w:tc>
          <w:tcPr>
            <w:tcW w:w="832" w:type="dxa"/>
            <w:shd w:val="clear" w:color="auto" w:fill="D9D9D9" w:themeFill="background1" w:themeFillShade="D9"/>
            <w:vAlign w:val="center"/>
          </w:tcPr>
          <w:p w14:paraId="6C7FA4A3" w14:textId="68A5C8C5" w:rsidR="00276FB2" w:rsidRPr="006C77F1" w:rsidRDefault="00A14078" w:rsidP="00045697">
            <w:pPr>
              <w:spacing w:after="0"/>
              <w:jc w:val="right"/>
              <w:rPr>
                <w:rFonts w:ascii="Arial" w:hAnsi="Arial" w:cs="Arial"/>
                <w:color w:val="000000"/>
                <w:sz w:val="20"/>
                <w:szCs w:val="20"/>
              </w:rPr>
            </w:pPr>
            <w:r>
              <w:rPr>
                <w:rFonts w:ascii="Arial" w:hAnsi="Arial"/>
                <w:color w:val="000000"/>
                <w:sz w:val="20"/>
                <w:szCs w:val="20"/>
              </w:rPr>
              <w:t xml:space="preserve">30,800 </w:t>
            </w:r>
          </w:p>
        </w:tc>
      </w:tr>
      <w:tr w:rsidR="00A14078" w:rsidRPr="006E2677" w14:paraId="155379B5" w14:textId="77777777" w:rsidTr="006D68C7">
        <w:trPr>
          <w:trHeight w:val="567"/>
          <w:jc w:val="center"/>
        </w:trPr>
        <w:tc>
          <w:tcPr>
            <w:tcW w:w="2405" w:type="dxa"/>
            <w:shd w:val="clear" w:color="auto" w:fill="FFFFFF" w:themeFill="background1"/>
            <w:vAlign w:val="center"/>
          </w:tcPr>
          <w:p w14:paraId="49978C96" w14:textId="5EA77D20" w:rsidR="00A14078" w:rsidRPr="006C77F1" w:rsidRDefault="00A14078" w:rsidP="00A14078">
            <w:pPr>
              <w:spacing w:before="60" w:after="60"/>
              <w:rPr>
                <w:rFonts w:ascii="Arial" w:hAnsi="Arial" w:cs="Arial"/>
                <w:color w:val="000000"/>
                <w:sz w:val="20"/>
                <w:szCs w:val="20"/>
              </w:rPr>
            </w:pPr>
            <w:r>
              <w:rPr>
                <w:rFonts w:ascii="Arial" w:hAnsi="Arial"/>
                <w:sz w:val="20"/>
                <w:szCs w:val="20"/>
              </w:rPr>
              <w:t>VTG</w:t>
            </w:r>
          </w:p>
        </w:tc>
        <w:tc>
          <w:tcPr>
            <w:tcW w:w="2410" w:type="dxa"/>
            <w:shd w:val="clear" w:color="auto" w:fill="FFFFFF" w:themeFill="background1"/>
            <w:vAlign w:val="center"/>
          </w:tcPr>
          <w:p w14:paraId="55F93B6B" w14:textId="142E7DDC" w:rsidR="00A14078" w:rsidRPr="0027363B" w:rsidRDefault="00A14078" w:rsidP="00A14078">
            <w:pPr>
              <w:spacing w:after="0"/>
              <w:rPr>
                <w:rFonts w:ascii="Arial" w:hAnsi="Arial" w:cs="Arial"/>
                <w:color w:val="000000"/>
                <w:sz w:val="20"/>
                <w:szCs w:val="20"/>
              </w:rPr>
            </w:pPr>
            <w:r>
              <w:rPr>
                <w:rFonts w:ascii="Arial" w:hAnsi="Arial"/>
                <w:color w:val="000000"/>
                <w:sz w:val="20"/>
                <w:szCs w:val="20"/>
              </w:rPr>
              <w:t>“Green Innovation Lab”</w:t>
            </w:r>
          </w:p>
        </w:tc>
        <w:tc>
          <w:tcPr>
            <w:tcW w:w="2551" w:type="dxa"/>
            <w:shd w:val="clear" w:color="auto" w:fill="FFFFFF" w:themeFill="background1"/>
            <w:vAlign w:val="center"/>
          </w:tcPr>
          <w:p w14:paraId="55696B69" w14:textId="59B96D05" w:rsidR="00A14078" w:rsidRPr="00A14078" w:rsidRDefault="00A14078" w:rsidP="00A14078">
            <w:pPr>
              <w:spacing w:before="60" w:after="60"/>
              <w:rPr>
                <w:rFonts w:ascii="Arial" w:hAnsi="Arial" w:cs="Arial"/>
                <w:sz w:val="20"/>
                <w:szCs w:val="20"/>
              </w:rPr>
            </w:pPr>
            <w:proofErr w:type="spellStart"/>
            <w:r>
              <w:rPr>
                <w:rFonts w:ascii="Arial" w:hAnsi="Arial"/>
                <w:color w:val="000000"/>
                <w:sz w:val="20"/>
                <w:szCs w:val="20"/>
              </w:rPr>
              <w:t>Versmannstrasse</w:t>
            </w:r>
            <w:proofErr w:type="spellEnd"/>
            <w:r>
              <w:rPr>
                <w:rFonts w:ascii="Arial" w:hAnsi="Arial"/>
                <w:color w:val="000000"/>
                <w:sz w:val="20"/>
                <w:szCs w:val="20"/>
              </w:rPr>
              <w:t>, “</w:t>
            </w:r>
            <w:proofErr w:type="spellStart"/>
            <w:r>
              <w:rPr>
                <w:rFonts w:ascii="Arial" w:hAnsi="Arial"/>
                <w:color w:val="000000"/>
                <w:sz w:val="20"/>
                <w:szCs w:val="20"/>
              </w:rPr>
              <w:t>Elbbrückenquartier</w:t>
            </w:r>
            <w:proofErr w:type="spellEnd"/>
            <w:r>
              <w:rPr>
                <w:rFonts w:ascii="Arial" w:hAnsi="Arial"/>
                <w:color w:val="000000"/>
                <w:sz w:val="20"/>
                <w:szCs w:val="20"/>
              </w:rPr>
              <w:t>”</w:t>
            </w:r>
          </w:p>
        </w:tc>
        <w:tc>
          <w:tcPr>
            <w:tcW w:w="1436" w:type="dxa"/>
            <w:shd w:val="clear" w:color="auto" w:fill="FFFFFF" w:themeFill="background1"/>
            <w:vAlign w:val="center"/>
          </w:tcPr>
          <w:p w14:paraId="484A786E" w14:textId="204C1827" w:rsidR="00A14078" w:rsidRPr="006C77F1" w:rsidRDefault="00A14078" w:rsidP="00A14078">
            <w:pPr>
              <w:spacing w:after="0"/>
              <w:rPr>
                <w:rFonts w:ascii="Arial" w:hAnsi="Arial" w:cs="Arial"/>
                <w:color w:val="000000"/>
                <w:sz w:val="20"/>
                <w:szCs w:val="20"/>
              </w:rPr>
            </w:pPr>
            <w:r>
              <w:rPr>
                <w:rFonts w:ascii="Arial" w:hAnsi="Arial"/>
                <w:color w:val="000000"/>
                <w:sz w:val="20"/>
                <w:szCs w:val="20"/>
              </w:rPr>
              <w:t>HafenCity</w:t>
            </w:r>
          </w:p>
        </w:tc>
        <w:tc>
          <w:tcPr>
            <w:tcW w:w="832" w:type="dxa"/>
            <w:shd w:val="clear" w:color="auto" w:fill="FFFFFF" w:themeFill="background1"/>
            <w:vAlign w:val="center"/>
          </w:tcPr>
          <w:p w14:paraId="6BFAF344" w14:textId="245992D6" w:rsidR="00A14078" w:rsidRPr="006C77F1" w:rsidRDefault="00A14078" w:rsidP="00A14078">
            <w:pPr>
              <w:spacing w:before="60" w:after="60"/>
              <w:rPr>
                <w:rFonts w:ascii="Arial" w:hAnsi="Arial" w:cs="Arial"/>
                <w:color w:val="000000"/>
                <w:sz w:val="20"/>
                <w:szCs w:val="20"/>
              </w:rPr>
            </w:pPr>
            <w:r>
              <w:rPr>
                <w:rFonts w:ascii="Arial" w:hAnsi="Arial"/>
                <w:color w:val="000000"/>
                <w:sz w:val="20"/>
                <w:szCs w:val="20"/>
              </w:rPr>
              <w:t xml:space="preserve">11,500 </w:t>
            </w:r>
          </w:p>
        </w:tc>
      </w:tr>
      <w:tr w:rsidR="006C77F1" w:rsidRPr="0017364E" w14:paraId="10468498" w14:textId="77777777" w:rsidTr="006D68C7">
        <w:trPr>
          <w:trHeight w:val="567"/>
          <w:jc w:val="center"/>
        </w:trPr>
        <w:tc>
          <w:tcPr>
            <w:tcW w:w="2405" w:type="dxa"/>
            <w:shd w:val="clear" w:color="auto" w:fill="D9D9D9" w:themeFill="background1" w:themeFillShade="D9"/>
            <w:vAlign w:val="center"/>
          </w:tcPr>
          <w:p w14:paraId="3E70CDED" w14:textId="3641FFEF" w:rsidR="00276FB2" w:rsidRPr="006C77F1" w:rsidRDefault="00423E19" w:rsidP="00423E19">
            <w:pPr>
              <w:spacing w:before="60" w:after="60"/>
              <w:rPr>
                <w:rFonts w:ascii="Arial" w:hAnsi="Arial" w:cs="Arial"/>
                <w:color w:val="000000"/>
                <w:sz w:val="20"/>
                <w:szCs w:val="20"/>
              </w:rPr>
            </w:pPr>
            <w:proofErr w:type="spellStart"/>
            <w:r>
              <w:rPr>
                <w:rFonts w:ascii="Arial" w:hAnsi="Arial"/>
                <w:sz w:val="20"/>
                <w:szCs w:val="20"/>
              </w:rPr>
              <w:t>Kasse.Hamburg</w:t>
            </w:r>
            <w:proofErr w:type="spellEnd"/>
          </w:p>
        </w:tc>
        <w:tc>
          <w:tcPr>
            <w:tcW w:w="2410" w:type="dxa"/>
            <w:shd w:val="clear" w:color="auto" w:fill="D9D9D9" w:themeFill="background1" w:themeFillShade="D9"/>
            <w:vAlign w:val="center"/>
          </w:tcPr>
          <w:p w14:paraId="0898C748" w14:textId="5E1DCFB6" w:rsidR="00276FB2" w:rsidRPr="006C77F1" w:rsidRDefault="000E3623" w:rsidP="00045697">
            <w:pPr>
              <w:spacing w:after="0"/>
              <w:rPr>
                <w:rFonts w:ascii="Arial" w:hAnsi="Arial" w:cs="Arial"/>
                <w:color w:val="000000"/>
                <w:sz w:val="20"/>
                <w:szCs w:val="20"/>
              </w:rPr>
            </w:pPr>
            <w:r>
              <w:rPr>
                <w:rFonts w:ascii="Arial" w:hAnsi="Arial"/>
                <w:sz w:val="20"/>
                <w:szCs w:val="20"/>
              </w:rPr>
              <w:t>Existing building</w:t>
            </w:r>
          </w:p>
        </w:tc>
        <w:tc>
          <w:tcPr>
            <w:tcW w:w="2551" w:type="dxa"/>
            <w:shd w:val="clear" w:color="auto" w:fill="D9D9D9" w:themeFill="background1" w:themeFillShade="D9"/>
            <w:vAlign w:val="center"/>
          </w:tcPr>
          <w:p w14:paraId="6821C1E3" w14:textId="11105D4A" w:rsidR="00276FB2" w:rsidRPr="006C77F1" w:rsidRDefault="00423E19" w:rsidP="00045697">
            <w:pPr>
              <w:spacing w:before="60" w:after="60"/>
              <w:rPr>
                <w:rFonts w:ascii="Arial" w:hAnsi="Arial" w:cs="Arial"/>
                <w:sz w:val="20"/>
                <w:szCs w:val="20"/>
              </w:rPr>
            </w:pPr>
            <w:proofErr w:type="spellStart"/>
            <w:r>
              <w:rPr>
                <w:rFonts w:ascii="Arial" w:hAnsi="Arial"/>
                <w:color w:val="000000"/>
                <w:sz w:val="20"/>
                <w:szCs w:val="20"/>
              </w:rPr>
              <w:t>Gasstrasse</w:t>
            </w:r>
            <w:proofErr w:type="spellEnd"/>
            <w:r>
              <w:rPr>
                <w:rFonts w:ascii="Arial" w:hAnsi="Arial"/>
                <w:color w:val="000000"/>
                <w:sz w:val="20"/>
                <w:szCs w:val="20"/>
              </w:rPr>
              <w:t xml:space="preserve"> 27</w:t>
            </w:r>
          </w:p>
        </w:tc>
        <w:tc>
          <w:tcPr>
            <w:tcW w:w="1436" w:type="dxa"/>
            <w:shd w:val="clear" w:color="auto" w:fill="D9D9D9" w:themeFill="background1" w:themeFillShade="D9"/>
            <w:vAlign w:val="center"/>
          </w:tcPr>
          <w:p w14:paraId="72180C29" w14:textId="3E4033BD" w:rsidR="00276FB2" w:rsidRPr="006C77F1" w:rsidRDefault="00423E19" w:rsidP="0027363B">
            <w:pPr>
              <w:spacing w:after="0"/>
              <w:rPr>
                <w:rFonts w:ascii="Arial" w:hAnsi="Arial" w:cs="Arial"/>
                <w:color w:val="000000"/>
                <w:sz w:val="20"/>
                <w:szCs w:val="20"/>
              </w:rPr>
            </w:pPr>
            <w:proofErr w:type="spellStart"/>
            <w:r>
              <w:rPr>
                <w:rFonts w:ascii="Arial" w:hAnsi="Arial"/>
                <w:color w:val="000000"/>
                <w:sz w:val="20"/>
                <w:szCs w:val="20"/>
              </w:rPr>
              <w:t>Bahrenfeld</w:t>
            </w:r>
            <w:proofErr w:type="spellEnd"/>
          </w:p>
        </w:tc>
        <w:tc>
          <w:tcPr>
            <w:tcW w:w="832" w:type="dxa"/>
            <w:shd w:val="clear" w:color="auto" w:fill="D9D9D9" w:themeFill="background1" w:themeFillShade="D9"/>
            <w:vAlign w:val="center"/>
          </w:tcPr>
          <w:p w14:paraId="1F9773E9" w14:textId="47E88090" w:rsidR="00276FB2" w:rsidRPr="0027363B" w:rsidRDefault="00423E19" w:rsidP="0027363B">
            <w:pPr>
              <w:spacing w:before="60" w:after="60"/>
              <w:rPr>
                <w:rFonts w:ascii="Arial" w:hAnsi="Arial" w:cs="Arial"/>
                <w:color w:val="000000"/>
                <w:sz w:val="20"/>
                <w:szCs w:val="20"/>
              </w:rPr>
            </w:pPr>
            <w:r>
              <w:rPr>
                <w:rFonts w:ascii="Arial" w:hAnsi="Arial"/>
                <w:color w:val="000000"/>
                <w:sz w:val="20"/>
                <w:szCs w:val="20"/>
              </w:rPr>
              <w:t>8,900</w:t>
            </w:r>
          </w:p>
        </w:tc>
      </w:tr>
      <w:tr w:rsidR="006C77F1" w:rsidRPr="0017364E" w14:paraId="234EA95A" w14:textId="77777777" w:rsidTr="006D68C7">
        <w:trPr>
          <w:trHeight w:val="567"/>
          <w:jc w:val="center"/>
        </w:trPr>
        <w:tc>
          <w:tcPr>
            <w:tcW w:w="2405" w:type="dxa"/>
            <w:shd w:val="clear" w:color="auto" w:fill="D9D9D9" w:themeFill="background1" w:themeFillShade="D9"/>
            <w:vAlign w:val="center"/>
          </w:tcPr>
          <w:p w14:paraId="7C59719D" w14:textId="498DF76B" w:rsidR="00276FB2" w:rsidRPr="006C77F1" w:rsidRDefault="004634D9" w:rsidP="006D68C7">
            <w:pPr>
              <w:spacing w:before="60" w:after="60"/>
              <w:rPr>
                <w:rFonts w:ascii="Arial" w:hAnsi="Arial" w:cs="Arial"/>
                <w:color w:val="000000"/>
                <w:sz w:val="20"/>
                <w:szCs w:val="20"/>
              </w:rPr>
            </w:pPr>
            <w:r w:rsidRPr="006D68C7">
              <w:rPr>
                <w:rFonts w:ascii="Arial" w:hAnsi="Arial"/>
                <w:sz w:val="20"/>
                <w:szCs w:val="20"/>
              </w:rPr>
              <w:t>Construction and real estate</w:t>
            </w:r>
            <w:r w:rsidR="00E91959" w:rsidRPr="006D68C7">
              <w:rPr>
                <w:rFonts w:ascii="Arial" w:hAnsi="Arial"/>
                <w:sz w:val="20"/>
                <w:szCs w:val="20"/>
              </w:rPr>
              <w:t xml:space="preserve"> sector</w:t>
            </w:r>
          </w:p>
        </w:tc>
        <w:tc>
          <w:tcPr>
            <w:tcW w:w="2410" w:type="dxa"/>
            <w:shd w:val="clear" w:color="auto" w:fill="D9D9D9" w:themeFill="background1" w:themeFillShade="D9"/>
            <w:vAlign w:val="center"/>
          </w:tcPr>
          <w:p w14:paraId="0E688F4C" w14:textId="7B503CDC" w:rsidR="00276FB2" w:rsidRPr="006C77F1" w:rsidRDefault="00423E19" w:rsidP="0027363B">
            <w:pPr>
              <w:spacing w:after="0"/>
              <w:rPr>
                <w:rFonts w:ascii="Arial" w:hAnsi="Arial" w:cs="Arial"/>
                <w:color w:val="000000"/>
                <w:sz w:val="20"/>
                <w:szCs w:val="20"/>
              </w:rPr>
            </w:pPr>
            <w:r>
              <w:rPr>
                <w:rFonts w:ascii="Arial" w:hAnsi="Arial"/>
                <w:color w:val="000000"/>
                <w:sz w:val="20"/>
                <w:szCs w:val="20"/>
              </w:rPr>
              <w:t xml:space="preserve">“Spiegel </w:t>
            </w:r>
            <w:proofErr w:type="spellStart"/>
            <w:r>
              <w:rPr>
                <w:rFonts w:ascii="Arial" w:hAnsi="Arial"/>
                <w:color w:val="000000"/>
                <w:sz w:val="20"/>
                <w:szCs w:val="20"/>
              </w:rPr>
              <w:t>Haus</w:t>
            </w:r>
            <w:proofErr w:type="spellEnd"/>
            <w:r>
              <w:rPr>
                <w:rFonts w:ascii="Arial" w:hAnsi="Arial"/>
                <w:color w:val="000000"/>
                <w:sz w:val="20"/>
                <w:szCs w:val="20"/>
              </w:rPr>
              <w:t>”</w:t>
            </w:r>
          </w:p>
        </w:tc>
        <w:tc>
          <w:tcPr>
            <w:tcW w:w="2551" w:type="dxa"/>
            <w:shd w:val="clear" w:color="auto" w:fill="D9D9D9" w:themeFill="background1" w:themeFillShade="D9"/>
            <w:vAlign w:val="center"/>
          </w:tcPr>
          <w:p w14:paraId="5C4E0271" w14:textId="6BF12957" w:rsidR="00276FB2" w:rsidRPr="006C77F1" w:rsidRDefault="00423E19" w:rsidP="00045697">
            <w:pPr>
              <w:spacing w:before="60" w:after="60"/>
              <w:rPr>
                <w:rFonts w:ascii="Arial" w:hAnsi="Arial" w:cs="Arial"/>
                <w:sz w:val="20"/>
                <w:szCs w:val="20"/>
              </w:rPr>
            </w:pPr>
            <w:proofErr w:type="spellStart"/>
            <w:r>
              <w:rPr>
                <w:rFonts w:ascii="Arial" w:hAnsi="Arial"/>
                <w:color w:val="000000"/>
                <w:sz w:val="20"/>
                <w:szCs w:val="20"/>
              </w:rPr>
              <w:t>Ericusspitze</w:t>
            </w:r>
            <w:proofErr w:type="spellEnd"/>
            <w:r>
              <w:rPr>
                <w:rFonts w:ascii="Arial" w:hAnsi="Arial"/>
                <w:color w:val="000000"/>
                <w:sz w:val="20"/>
                <w:szCs w:val="20"/>
              </w:rPr>
              <w:t xml:space="preserve"> 1</w:t>
            </w:r>
          </w:p>
        </w:tc>
        <w:tc>
          <w:tcPr>
            <w:tcW w:w="1436" w:type="dxa"/>
            <w:shd w:val="clear" w:color="auto" w:fill="D9D9D9" w:themeFill="background1" w:themeFillShade="D9"/>
            <w:vAlign w:val="center"/>
          </w:tcPr>
          <w:p w14:paraId="37C08CDB" w14:textId="3DA3BC22" w:rsidR="00276FB2" w:rsidRPr="006C77F1" w:rsidRDefault="00423E19" w:rsidP="0027363B">
            <w:pPr>
              <w:spacing w:before="60" w:after="60"/>
              <w:rPr>
                <w:rFonts w:ascii="Arial" w:hAnsi="Arial" w:cs="Arial"/>
                <w:color w:val="000000"/>
                <w:sz w:val="20"/>
                <w:szCs w:val="20"/>
              </w:rPr>
            </w:pPr>
            <w:r>
              <w:rPr>
                <w:rFonts w:ascii="Arial" w:hAnsi="Arial"/>
                <w:color w:val="000000"/>
                <w:sz w:val="20"/>
                <w:szCs w:val="20"/>
              </w:rPr>
              <w:t>HafenCity</w:t>
            </w:r>
          </w:p>
        </w:tc>
        <w:tc>
          <w:tcPr>
            <w:tcW w:w="832" w:type="dxa"/>
            <w:shd w:val="clear" w:color="auto" w:fill="D9D9D9" w:themeFill="background1" w:themeFillShade="D9"/>
            <w:vAlign w:val="center"/>
          </w:tcPr>
          <w:p w14:paraId="70E8854C" w14:textId="405A7EE0" w:rsidR="00276FB2" w:rsidRPr="006C77F1" w:rsidRDefault="00423E19" w:rsidP="0027363B">
            <w:pPr>
              <w:spacing w:before="60" w:after="60"/>
              <w:rPr>
                <w:rFonts w:ascii="Arial" w:hAnsi="Arial" w:cs="Arial"/>
                <w:color w:val="000000"/>
                <w:sz w:val="20"/>
                <w:szCs w:val="20"/>
              </w:rPr>
            </w:pPr>
            <w:r>
              <w:rPr>
                <w:rFonts w:ascii="Arial" w:hAnsi="Arial"/>
                <w:color w:val="000000"/>
                <w:sz w:val="20"/>
                <w:szCs w:val="20"/>
              </w:rPr>
              <w:t>7,800</w:t>
            </w:r>
          </w:p>
        </w:tc>
      </w:tr>
      <w:tr w:rsidR="006C77F1" w:rsidRPr="0017364E" w14:paraId="42E15EBD" w14:textId="77777777" w:rsidTr="006D68C7">
        <w:trPr>
          <w:trHeight w:val="567"/>
          <w:jc w:val="center"/>
        </w:trPr>
        <w:tc>
          <w:tcPr>
            <w:tcW w:w="2405" w:type="dxa"/>
            <w:shd w:val="clear" w:color="auto" w:fill="D9D9D9" w:themeFill="background1" w:themeFillShade="D9"/>
            <w:vAlign w:val="center"/>
          </w:tcPr>
          <w:p w14:paraId="1BC3952C" w14:textId="2E71327C" w:rsidR="004634D9" w:rsidRPr="006C77F1" w:rsidRDefault="004634D9" w:rsidP="004634D9">
            <w:pPr>
              <w:spacing w:after="0"/>
              <w:rPr>
                <w:rFonts w:ascii="Arial" w:hAnsi="Arial" w:cs="Arial"/>
                <w:color w:val="000000"/>
                <w:sz w:val="20"/>
                <w:szCs w:val="20"/>
              </w:rPr>
            </w:pPr>
            <w:r>
              <w:rPr>
                <w:rFonts w:ascii="Arial" w:hAnsi="Arial"/>
                <w:color w:val="000000"/>
                <w:sz w:val="20"/>
                <w:szCs w:val="20"/>
              </w:rPr>
              <w:t xml:space="preserve">Retail sector </w:t>
            </w:r>
          </w:p>
        </w:tc>
        <w:tc>
          <w:tcPr>
            <w:tcW w:w="2410" w:type="dxa"/>
            <w:shd w:val="clear" w:color="auto" w:fill="D9D9D9" w:themeFill="background1" w:themeFillShade="D9"/>
            <w:vAlign w:val="center"/>
          </w:tcPr>
          <w:p w14:paraId="393E8AA8" w14:textId="74F0D3D5" w:rsidR="00276FB2" w:rsidRPr="006C77F1" w:rsidRDefault="00045697" w:rsidP="00423E19">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Herrlichkeit</w:t>
            </w:r>
            <w:proofErr w:type="spellEnd"/>
            <w:r>
              <w:rPr>
                <w:rFonts w:ascii="Arial" w:hAnsi="Arial"/>
                <w:color w:val="000000"/>
                <w:sz w:val="20"/>
                <w:szCs w:val="20"/>
              </w:rPr>
              <w:t>”</w:t>
            </w:r>
          </w:p>
        </w:tc>
        <w:tc>
          <w:tcPr>
            <w:tcW w:w="2551" w:type="dxa"/>
            <w:shd w:val="clear" w:color="auto" w:fill="D9D9D9" w:themeFill="background1" w:themeFillShade="D9"/>
            <w:vAlign w:val="center"/>
          </w:tcPr>
          <w:p w14:paraId="2F5A286C" w14:textId="0B6CF451" w:rsidR="00276FB2" w:rsidRPr="006C77F1" w:rsidRDefault="00423E19" w:rsidP="00045697">
            <w:pPr>
              <w:spacing w:before="60" w:after="60"/>
              <w:rPr>
                <w:rFonts w:ascii="Arial" w:hAnsi="Arial" w:cs="Arial"/>
                <w:sz w:val="20"/>
                <w:szCs w:val="20"/>
              </w:rPr>
            </w:pPr>
            <w:proofErr w:type="spellStart"/>
            <w:r>
              <w:rPr>
                <w:rFonts w:ascii="Arial" w:hAnsi="Arial"/>
                <w:color w:val="000000"/>
                <w:sz w:val="20"/>
                <w:szCs w:val="20"/>
              </w:rPr>
              <w:t>Rödingsmarkt</w:t>
            </w:r>
            <w:proofErr w:type="spellEnd"/>
            <w:r>
              <w:rPr>
                <w:rFonts w:ascii="Arial" w:hAnsi="Arial"/>
                <w:color w:val="000000"/>
                <w:sz w:val="20"/>
                <w:szCs w:val="20"/>
              </w:rPr>
              <w:t xml:space="preserve"> 16</w:t>
            </w:r>
          </w:p>
        </w:tc>
        <w:tc>
          <w:tcPr>
            <w:tcW w:w="1436" w:type="dxa"/>
            <w:shd w:val="clear" w:color="auto" w:fill="D9D9D9" w:themeFill="background1" w:themeFillShade="D9"/>
            <w:vAlign w:val="center"/>
          </w:tcPr>
          <w:p w14:paraId="30CD8576" w14:textId="77777777" w:rsidR="00276FB2" w:rsidRPr="006C77F1" w:rsidRDefault="00276FB2" w:rsidP="0027363B">
            <w:pPr>
              <w:spacing w:before="60" w:after="60"/>
              <w:rPr>
                <w:rFonts w:ascii="Arial" w:hAnsi="Arial" w:cs="Arial"/>
                <w:color w:val="000000"/>
                <w:sz w:val="20"/>
                <w:szCs w:val="20"/>
              </w:rPr>
            </w:pPr>
            <w:r>
              <w:rPr>
                <w:rFonts w:ascii="Arial" w:hAnsi="Arial"/>
                <w:color w:val="000000"/>
                <w:sz w:val="20"/>
                <w:szCs w:val="20"/>
              </w:rPr>
              <w:t>City</w:t>
            </w:r>
          </w:p>
        </w:tc>
        <w:tc>
          <w:tcPr>
            <w:tcW w:w="832" w:type="dxa"/>
            <w:shd w:val="clear" w:color="auto" w:fill="D9D9D9" w:themeFill="background1" w:themeFillShade="D9"/>
            <w:vAlign w:val="center"/>
          </w:tcPr>
          <w:p w14:paraId="5785CB9E" w14:textId="4B676475" w:rsidR="00276FB2" w:rsidRPr="0027363B" w:rsidRDefault="00423E19" w:rsidP="0027363B">
            <w:pPr>
              <w:spacing w:before="60" w:after="60"/>
              <w:rPr>
                <w:rFonts w:ascii="Arial" w:hAnsi="Arial" w:cs="Arial"/>
                <w:color w:val="000000"/>
                <w:sz w:val="20"/>
                <w:szCs w:val="20"/>
              </w:rPr>
            </w:pPr>
            <w:r>
              <w:rPr>
                <w:rFonts w:ascii="Arial" w:hAnsi="Arial"/>
                <w:color w:val="000000"/>
                <w:sz w:val="20"/>
                <w:szCs w:val="20"/>
              </w:rPr>
              <w:t>7,600</w:t>
            </w:r>
          </w:p>
        </w:tc>
      </w:tr>
    </w:tbl>
    <w:p w14:paraId="5AFC598B" w14:textId="77777777" w:rsidR="001533C6" w:rsidRDefault="001533C6" w:rsidP="001533C6">
      <w:pPr>
        <w:widowControl w:val="0"/>
        <w:spacing w:after="0"/>
        <w:rPr>
          <w:rFonts w:ascii="Arial" w:hAnsi="Arial" w:cs="Arial"/>
          <w:sz w:val="16"/>
          <w:szCs w:val="16"/>
        </w:rPr>
      </w:pPr>
    </w:p>
    <w:p w14:paraId="1E03FE05" w14:textId="3B93B317" w:rsidR="001533C6" w:rsidRDefault="00CD4CE5" w:rsidP="001533C6">
      <w:pPr>
        <w:spacing w:after="0" w:line="360" w:lineRule="auto"/>
        <w:rPr>
          <w:rFonts w:ascii="Arial" w:eastAsia="Arial" w:hAnsi="Arial" w:cs="Arial"/>
          <w:color w:val="000000" w:themeColor="text1"/>
          <w:sz w:val="20"/>
          <w:szCs w:val="20"/>
        </w:rPr>
      </w:pPr>
      <w:r>
        <w:rPr>
          <w:rFonts w:ascii="Arial" w:hAnsi="Arial"/>
          <w:sz w:val="16"/>
          <w:szCs w:val="16"/>
        </w:rPr>
        <w:t>Transactions occurring in the quarter covered by this report are highlighted.</w:t>
      </w:r>
    </w:p>
    <w:p w14:paraId="6344DC72" w14:textId="77777777" w:rsidR="00CD4CE5" w:rsidRDefault="00CD4CE5" w:rsidP="001533C6">
      <w:pPr>
        <w:spacing w:after="0" w:line="360" w:lineRule="auto"/>
        <w:rPr>
          <w:rFonts w:ascii="Arial" w:eastAsia="Arial" w:hAnsi="Arial" w:cs="Arial"/>
          <w:color w:val="000000" w:themeColor="text1"/>
          <w:sz w:val="20"/>
          <w:szCs w:val="20"/>
        </w:rPr>
      </w:pPr>
    </w:p>
    <w:p w14:paraId="73144B28" w14:textId="101C1306" w:rsidR="001533C6" w:rsidRPr="00A3554C" w:rsidRDefault="001533C6" w:rsidP="001533C6">
      <w:pPr>
        <w:spacing w:after="0" w:line="360" w:lineRule="auto"/>
        <w:rPr>
          <w:rFonts w:ascii="Arial" w:hAnsi="Arial" w:cs="Arial"/>
          <w:sz w:val="20"/>
          <w:szCs w:val="20"/>
        </w:rPr>
      </w:pPr>
      <w:r>
        <w:rPr>
          <w:rFonts w:ascii="Arial" w:hAnsi="Arial"/>
          <w:color w:val="000000" w:themeColor="text1"/>
          <w:sz w:val="20"/>
          <w:szCs w:val="20"/>
        </w:rPr>
        <w:t>The</w:t>
      </w:r>
      <w:r w:rsidRPr="00551FD1">
        <w:rPr>
          <w:rFonts w:ascii="Arial" w:hAnsi="Arial"/>
          <w:sz w:val="20"/>
          <w:szCs w:val="20"/>
        </w:rPr>
        <w:t xml:space="preserve"> </w:t>
      </w:r>
      <w:hyperlink r:id="rId9" w:history="1">
        <w:r w:rsidR="00551FD1" w:rsidRPr="00551FD1">
          <w:rPr>
            <w:rStyle w:val="Hyperlink"/>
            <w:rFonts w:ascii="Arial" w:hAnsi="Arial"/>
            <w:sz w:val="20"/>
            <w:szCs w:val="20"/>
          </w:rPr>
          <w:t xml:space="preserve">market survey office letting </w:t>
        </w:r>
        <w:r w:rsidRPr="00551FD1">
          <w:rPr>
            <w:rStyle w:val="Hyperlink"/>
            <w:rFonts w:ascii="Arial" w:hAnsi="Arial"/>
            <w:sz w:val="20"/>
            <w:szCs w:val="20"/>
          </w:rPr>
          <w:t>Hamburg 2022/Q2</w:t>
        </w:r>
      </w:hyperlink>
      <w:r>
        <w:rPr>
          <w:rFonts w:ascii="Arial" w:hAnsi="Arial"/>
          <w:color w:val="000000" w:themeColor="text1"/>
          <w:sz w:val="20"/>
          <w:szCs w:val="20"/>
        </w:rPr>
        <w:t xml:space="preserve"> will soon be available to download from our website.</w:t>
      </w:r>
    </w:p>
    <w:p w14:paraId="351DF6B0" w14:textId="77777777" w:rsidR="00EB2E4B" w:rsidRDefault="00EB2E4B" w:rsidP="00EB2E4B">
      <w:pPr>
        <w:pStyle w:val="Kommentartext"/>
        <w:spacing w:after="0" w:line="360" w:lineRule="auto"/>
        <w:rPr>
          <w:rFonts w:ascii="Arial" w:hAnsi="Arial" w:cs="Arial"/>
        </w:rPr>
      </w:pPr>
    </w:p>
    <w:p w14:paraId="598D9D52" w14:textId="77777777" w:rsidR="00EB2E4B" w:rsidRPr="0090748B" w:rsidRDefault="00EB2E4B" w:rsidP="00EB2E4B">
      <w:pPr>
        <w:spacing w:after="0" w:line="360" w:lineRule="auto"/>
        <w:rPr>
          <w:rFonts w:ascii="Arial" w:hAnsi="Arial" w:cs="Arial"/>
          <w:b/>
          <w:sz w:val="16"/>
          <w:szCs w:val="16"/>
        </w:rPr>
      </w:pPr>
      <w:r>
        <w:rPr>
          <w:rFonts w:ascii="Arial" w:hAnsi="Arial"/>
          <w:b/>
          <w:sz w:val="16"/>
          <w:szCs w:val="16"/>
        </w:rPr>
        <w:t>About Grossmann &amp; Berger</w:t>
      </w:r>
    </w:p>
    <w:p w14:paraId="28D93565" w14:textId="77777777" w:rsidR="00EB2E4B" w:rsidRPr="00521AA1" w:rsidRDefault="00DD49AB" w:rsidP="00EB2E4B">
      <w:pPr>
        <w:spacing w:after="0" w:line="360" w:lineRule="auto"/>
        <w:rPr>
          <w:rFonts w:ascii="Arial" w:hAnsi="Arial" w:cs="Arial"/>
          <w:vanish/>
          <w:sz w:val="16"/>
          <w:szCs w:val="16"/>
          <w:specVanish/>
        </w:rPr>
      </w:pPr>
      <w:hyperlink r:id="rId10" w:history="1">
        <w:r w:rsidR="00EB2E4B">
          <w:rPr>
            <w:rStyle w:val="Hyperlink"/>
            <w:rFonts w:ascii="Arial" w:hAnsi="Arial"/>
            <w:snapToGrid w:val="0"/>
            <w:sz w:val="16"/>
            <w:szCs w:val="16"/>
          </w:rPr>
          <w:t>Grossmann &amp; Berger GmbH</w:t>
        </w:r>
      </w:hyperlink>
      <w:r w:rsidR="00EB2E4B">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EB2E4B">
          <w:rPr>
            <w:rStyle w:val="Hyperlink"/>
            <w:rFonts w:ascii="Arial" w:hAnsi="Arial"/>
            <w:snapToGrid w:val="0"/>
            <w:sz w:val="16"/>
            <w:szCs w:val="16"/>
          </w:rPr>
          <w:t>E &amp; G Real Estate</w:t>
        </w:r>
      </w:hyperlink>
      <w:r w:rsidR="00EB2E4B">
        <w:rPr>
          <w:rFonts w:ascii="Arial" w:hAnsi="Arial"/>
          <w:snapToGrid w:val="0"/>
          <w:sz w:val="16"/>
          <w:szCs w:val="16"/>
        </w:rPr>
        <w:t xml:space="preserve"> and</w:t>
      </w:r>
      <w:r w:rsidR="00EB2E4B">
        <w:rPr>
          <w:rFonts w:ascii="Arial" w:hAnsi="Arial"/>
          <w:snapToGrid w:val="0"/>
          <w:sz w:val="16"/>
          <w:szCs w:val="16"/>
        </w:rPr>
        <w:br/>
      </w:r>
      <w:hyperlink r:id="rId12" w:history="1">
        <w:r w:rsidR="00EB2E4B">
          <w:rPr>
            <w:rStyle w:val="Hyperlink"/>
            <w:rFonts w:ascii="Arial" w:hAnsi="Arial"/>
            <w:snapToGrid w:val="0"/>
            <w:sz w:val="16"/>
            <w:szCs w:val="16"/>
          </w:rPr>
          <w:t xml:space="preserve">E &amp; G Private </w:t>
        </w:r>
        <w:proofErr w:type="spellStart"/>
        <w:r w:rsidR="00EB2E4B">
          <w:rPr>
            <w:rStyle w:val="Hyperlink"/>
            <w:rFonts w:ascii="Arial" w:hAnsi="Arial"/>
            <w:snapToGrid w:val="0"/>
            <w:sz w:val="16"/>
            <w:szCs w:val="16"/>
          </w:rPr>
          <w:t>Immobilien</w:t>
        </w:r>
        <w:proofErr w:type="spellEnd"/>
      </w:hyperlink>
      <w:r w:rsidR="00EB2E4B">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EB2E4B">
        <w:rPr>
          <w:rFonts w:ascii="Arial" w:hAnsi="Arial"/>
          <w:sz w:val="16"/>
          <w:szCs w:val="16"/>
        </w:rPr>
        <w:t xml:space="preserve">Grossmann &amp; Berger belongs to the HASPA Group and is a founding member of the national commercial real estate network </w:t>
      </w:r>
      <w:hyperlink r:id="rId13" w:history="1">
        <w:r w:rsidR="00EB2E4B">
          <w:rPr>
            <w:rStyle w:val="Hyperlink"/>
            <w:rFonts w:ascii="Arial" w:hAnsi="Arial"/>
            <w:sz w:val="16"/>
            <w:szCs w:val="16"/>
          </w:rPr>
          <w:t>German Property Partners</w:t>
        </w:r>
      </w:hyperlink>
      <w:r w:rsidR="00EB2E4B">
        <w:rPr>
          <w:rFonts w:ascii="Arial" w:hAnsi="Arial"/>
          <w:sz w:val="16"/>
          <w:szCs w:val="16"/>
        </w:rPr>
        <w:t xml:space="preserve"> (GPP).</w:t>
      </w:r>
    </w:p>
    <w:p w14:paraId="2FE23F08" w14:textId="77777777" w:rsidR="00EB2E4B" w:rsidRPr="00521AA1" w:rsidRDefault="00EB2E4B" w:rsidP="00EB2E4B">
      <w:pPr>
        <w:spacing w:after="0" w:line="360" w:lineRule="auto"/>
        <w:rPr>
          <w:rFonts w:ascii="Arial" w:hAnsi="Arial" w:cs="Arial"/>
          <w:sz w:val="16"/>
          <w:szCs w:val="16"/>
        </w:rPr>
      </w:pPr>
    </w:p>
    <w:p w14:paraId="1598D97F" w14:textId="77777777" w:rsidR="00EB2E4B" w:rsidRDefault="00EB2E4B" w:rsidP="00EB2E4B">
      <w:pPr>
        <w:spacing w:after="0" w:line="360" w:lineRule="auto"/>
        <w:rPr>
          <w:rFonts w:ascii="Arial" w:hAnsi="Arial" w:cs="Arial"/>
          <w:sz w:val="16"/>
          <w:szCs w:val="16"/>
        </w:rPr>
      </w:pPr>
    </w:p>
    <w:p w14:paraId="1E85C204" w14:textId="7F4CC8CB" w:rsidR="00503D8C" w:rsidRPr="00EB2E4B" w:rsidRDefault="00551FD1" w:rsidP="00EB2E4B">
      <w:pPr>
        <w:spacing w:after="0" w:line="360" w:lineRule="auto"/>
        <w:rPr>
          <w:rFonts w:ascii="Arial" w:hAnsi="Arial" w:cs="Arial"/>
          <w:bCs/>
          <w:color w:val="000000" w:themeColor="text1"/>
          <w:sz w:val="20"/>
          <w:szCs w:val="20"/>
        </w:rPr>
      </w:pPr>
      <w:r>
        <w:rPr>
          <w:rFonts w:ascii="Arial" w:hAnsi="Arial"/>
          <w:sz w:val="16"/>
          <w:szCs w:val="16"/>
        </w:rPr>
        <w:t>Please consult our website for Grossmann &amp; Berger’s</w:t>
      </w:r>
      <w:r w:rsidRPr="008672D1">
        <w:rPr>
          <w:rFonts w:ascii="Arial" w:hAnsi="Arial"/>
          <w:sz w:val="16"/>
          <w:szCs w:val="16"/>
        </w:rPr>
        <w:t xml:space="preserve"> </w:t>
      </w:r>
      <w:hyperlink r:id="rId14" w:history="1">
        <w:r w:rsidRPr="008672D1">
          <w:rPr>
            <w:rStyle w:val="Hyperlink"/>
            <w:rFonts w:ascii="Arial" w:hAnsi="Arial"/>
            <w:sz w:val="16"/>
            <w:szCs w:val="16"/>
          </w:rPr>
          <w:t>data privacy policy</w:t>
        </w:r>
      </w:hyperlink>
      <w:r w:rsidRPr="008672D1">
        <w:rPr>
          <w:rFonts w:ascii="Arial" w:hAnsi="Arial"/>
          <w:sz w:val="16"/>
          <w:szCs w:val="16"/>
        </w:rPr>
        <w:t>.</w:t>
      </w:r>
      <w:r>
        <w:rPr>
          <w:rFonts w:ascii="Arial" w:hAnsi="Arial"/>
          <w:sz w:val="16"/>
          <w:szCs w:val="16"/>
        </w:rPr>
        <w:t xml:space="preserve"> Here you will also be able to access our </w:t>
      </w:r>
      <w:hyperlink r:id="rId15" w:history="1">
        <w:r w:rsidRPr="008672D1">
          <w:rPr>
            <w:rStyle w:val="Hyperlink"/>
            <w:rFonts w:ascii="Arial" w:hAnsi="Arial"/>
            <w:sz w:val="16"/>
            <w:szCs w:val="16"/>
          </w:rPr>
          <w:t>press kit</w:t>
        </w:r>
      </w:hyperlink>
      <w:r w:rsidRPr="008672D1">
        <w:rPr>
          <w:rFonts w:ascii="Arial" w:hAnsi="Arial"/>
          <w:sz w:val="16"/>
          <w:szCs w:val="16"/>
        </w:rPr>
        <w:t xml:space="preserve"> </w:t>
      </w:r>
      <w:r>
        <w:rPr>
          <w:rFonts w:ascii="Arial" w:hAnsi="Arial"/>
          <w:sz w:val="16"/>
          <w:szCs w:val="16"/>
        </w:rPr>
        <w:t xml:space="preserve">and the associated </w:t>
      </w:r>
      <w:hyperlink r:id="rId16" w:history="1">
        <w:r w:rsidRPr="008672D1">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EB2E4B"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EB8E5" w14:textId="77777777" w:rsidR="001827EC" w:rsidRDefault="001827EC">
      <w:r>
        <w:separator/>
      </w:r>
    </w:p>
  </w:endnote>
  <w:endnote w:type="continuationSeparator" w:id="0">
    <w:p w14:paraId="3A2F9804" w14:textId="77777777" w:rsidR="001827EC" w:rsidRDefault="001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64F"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E91959">
      <w:rPr>
        <w:rFonts w:ascii="Arial" w:hAnsi="Arial"/>
        <w:b/>
        <w:bCs/>
        <w:color w:val="918F90"/>
        <w:sz w:val="18"/>
        <w:szCs w:val="18"/>
        <w:lang w:val="de-DE"/>
      </w:rPr>
      <w:t xml:space="preserve">Grossmann &amp; Berger GmbH </w:t>
    </w:r>
    <w:r w:rsidRPr="00E91959">
      <w:rPr>
        <w:rFonts w:ascii="Arial" w:hAnsi="Arial"/>
        <w:color w:val="918F90"/>
        <w:sz w:val="18"/>
        <w:szCs w:val="18"/>
        <w:lang w:val="de-DE"/>
      </w:rPr>
      <w:t xml:space="preserve">| </w:t>
    </w:r>
    <w:proofErr w:type="spellStart"/>
    <w:r w:rsidRPr="00E91959">
      <w:rPr>
        <w:rFonts w:ascii="Arial" w:hAnsi="Arial"/>
        <w:color w:val="918F90"/>
        <w:sz w:val="18"/>
        <w:szCs w:val="18"/>
        <w:lang w:val="de-DE"/>
      </w:rPr>
      <w:t>Bleichenbrücke</w:t>
    </w:r>
    <w:proofErr w:type="spellEnd"/>
    <w:r w:rsidRPr="00E91959">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6B083F2C" w14:textId="4CB7E75C"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DD49AB">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DD49AB">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8FA3" w14:textId="77777777" w:rsidR="008C608D" w:rsidRDefault="008C608D">
    <w:pPr>
      <w:pStyle w:val="Fuzeile"/>
    </w:pPr>
    <w:r>
      <w:rPr>
        <w:noProof/>
        <w:lang w:val="de-DE" w:eastAsia="de-DE"/>
      </w:rPr>
      <w:drawing>
        <wp:anchor distT="0" distB="0" distL="0" distR="0" simplePos="0" relativeHeight="251659264" behindDoc="0" locked="0" layoutInCell="0" allowOverlap="1" wp14:anchorId="1F47B225" wp14:editId="1C89EA7E">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2084" w14:textId="77777777" w:rsidR="001827EC" w:rsidRDefault="001827EC">
      <w:r>
        <w:separator/>
      </w:r>
    </w:p>
  </w:footnote>
  <w:footnote w:type="continuationSeparator" w:id="0">
    <w:p w14:paraId="78ED06F6" w14:textId="77777777" w:rsidR="001827EC" w:rsidRDefault="001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9A0F"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3743D6D" wp14:editId="4D656D57">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71F5AE5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43D6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71F5AE5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2B6D33E7"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CE5"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47208E6D" wp14:editId="4704D40C">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65C9F499"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08E6D"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65C9F499"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6FE6CB1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28E8"/>
    <w:multiLevelType w:val="hybridMultilevel"/>
    <w:tmpl w:val="0D90CF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E00B82"/>
    <w:multiLevelType w:val="hybridMultilevel"/>
    <w:tmpl w:val="40A203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442410"/>
    <w:multiLevelType w:val="hybridMultilevel"/>
    <w:tmpl w:val="74541A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7"/>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45697"/>
    <w:rsid w:val="00052659"/>
    <w:rsid w:val="000539E2"/>
    <w:rsid w:val="00060743"/>
    <w:rsid w:val="00066796"/>
    <w:rsid w:val="000766D7"/>
    <w:rsid w:val="000B3315"/>
    <w:rsid w:val="000C3226"/>
    <w:rsid w:val="000C770D"/>
    <w:rsid w:val="000E03F3"/>
    <w:rsid w:val="000E3623"/>
    <w:rsid w:val="000F0E7C"/>
    <w:rsid w:val="000F509A"/>
    <w:rsid w:val="001029C4"/>
    <w:rsid w:val="0011080A"/>
    <w:rsid w:val="0011486D"/>
    <w:rsid w:val="00121E33"/>
    <w:rsid w:val="00123E01"/>
    <w:rsid w:val="00126550"/>
    <w:rsid w:val="00126EEF"/>
    <w:rsid w:val="001324D6"/>
    <w:rsid w:val="00135BD2"/>
    <w:rsid w:val="001429D0"/>
    <w:rsid w:val="001533C6"/>
    <w:rsid w:val="00154825"/>
    <w:rsid w:val="00155DAF"/>
    <w:rsid w:val="00165E83"/>
    <w:rsid w:val="0017516B"/>
    <w:rsid w:val="00176F1D"/>
    <w:rsid w:val="001801C0"/>
    <w:rsid w:val="001827EC"/>
    <w:rsid w:val="00195B90"/>
    <w:rsid w:val="001A2ABE"/>
    <w:rsid w:val="001A360C"/>
    <w:rsid w:val="001C61D7"/>
    <w:rsid w:val="001D14DA"/>
    <w:rsid w:val="001E6995"/>
    <w:rsid w:val="001E7013"/>
    <w:rsid w:val="001F1513"/>
    <w:rsid w:val="00205769"/>
    <w:rsid w:val="00212FEC"/>
    <w:rsid w:val="002131BB"/>
    <w:rsid w:val="0022086D"/>
    <w:rsid w:val="00227E31"/>
    <w:rsid w:val="00230F81"/>
    <w:rsid w:val="00233D8F"/>
    <w:rsid w:val="00254C6F"/>
    <w:rsid w:val="0025679F"/>
    <w:rsid w:val="0027266B"/>
    <w:rsid w:val="0027363B"/>
    <w:rsid w:val="00276FB2"/>
    <w:rsid w:val="00281E80"/>
    <w:rsid w:val="002834B0"/>
    <w:rsid w:val="00283671"/>
    <w:rsid w:val="00284E27"/>
    <w:rsid w:val="00287506"/>
    <w:rsid w:val="002916A0"/>
    <w:rsid w:val="002A1973"/>
    <w:rsid w:val="002A6649"/>
    <w:rsid w:val="002B3C3A"/>
    <w:rsid w:val="002C2392"/>
    <w:rsid w:val="002D0752"/>
    <w:rsid w:val="002D1C5C"/>
    <w:rsid w:val="002D1E20"/>
    <w:rsid w:val="002D584C"/>
    <w:rsid w:val="002E6860"/>
    <w:rsid w:val="002F0411"/>
    <w:rsid w:val="00305C18"/>
    <w:rsid w:val="003100F1"/>
    <w:rsid w:val="003112F5"/>
    <w:rsid w:val="00325E2A"/>
    <w:rsid w:val="0034786C"/>
    <w:rsid w:val="003517C9"/>
    <w:rsid w:val="00353937"/>
    <w:rsid w:val="00370000"/>
    <w:rsid w:val="00373507"/>
    <w:rsid w:val="0038230E"/>
    <w:rsid w:val="00382529"/>
    <w:rsid w:val="00387375"/>
    <w:rsid w:val="00394A86"/>
    <w:rsid w:val="003B24E3"/>
    <w:rsid w:val="003B4CCF"/>
    <w:rsid w:val="003C21E0"/>
    <w:rsid w:val="003C4FD8"/>
    <w:rsid w:val="003C6AB4"/>
    <w:rsid w:val="003D512D"/>
    <w:rsid w:val="003E0779"/>
    <w:rsid w:val="003E099F"/>
    <w:rsid w:val="003E41FB"/>
    <w:rsid w:val="0040086D"/>
    <w:rsid w:val="004017D8"/>
    <w:rsid w:val="00411E03"/>
    <w:rsid w:val="004123B1"/>
    <w:rsid w:val="004205FA"/>
    <w:rsid w:val="00423E06"/>
    <w:rsid w:val="00423E19"/>
    <w:rsid w:val="004303A1"/>
    <w:rsid w:val="00440DC9"/>
    <w:rsid w:val="004506D2"/>
    <w:rsid w:val="00456F40"/>
    <w:rsid w:val="004609BD"/>
    <w:rsid w:val="004634D9"/>
    <w:rsid w:val="004661EE"/>
    <w:rsid w:val="00466741"/>
    <w:rsid w:val="00475BA6"/>
    <w:rsid w:val="00486DD1"/>
    <w:rsid w:val="004904E8"/>
    <w:rsid w:val="004A2BEA"/>
    <w:rsid w:val="004A3C64"/>
    <w:rsid w:val="004A5AEA"/>
    <w:rsid w:val="004B2FDA"/>
    <w:rsid w:val="004B480A"/>
    <w:rsid w:val="004B6696"/>
    <w:rsid w:val="004E339B"/>
    <w:rsid w:val="004E4562"/>
    <w:rsid w:val="004F077F"/>
    <w:rsid w:val="004F097F"/>
    <w:rsid w:val="005023DD"/>
    <w:rsid w:val="00503D8C"/>
    <w:rsid w:val="005111DD"/>
    <w:rsid w:val="00522B84"/>
    <w:rsid w:val="00526DD0"/>
    <w:rsid w:val="00531A7F"/>
    <w:rsid w:val="005428C5"/>
    <w:rsid w:val="00543C55"/>
    <w:rsid w:val="00551FD1"/>
    <w:rsid w:val="005554C7"/>
    <w:rsid w:val="00582B99"/>
    <w:rsid w:val="00590903"/>
    <w:rsid w:val="005A040F"/>
    <w:rsid w:val="005B0FC9"/>
    <w:rsid w:val="005B4202"/>
    <w:rsid w:val="005B66D3"/>
    <w:rsid w:val="005C4556"/>
    <w:rsid w:val="005C5302"/>
    <w:rsid w:val="005E362E"/>
    <w:rsid w:val="005E4B48"/>
    <w:rsid w:val="00600E64"/>
    <w:rsid w:val="0061109D"/>
    <w:rsid w:val="00612AA0"/>
    <w:rsid w:val="006138CB"/>
    <w:rsid w:val="006224C4"/>
    <w:rsid w:val="006225EA"/>
    <w:rsid w:val="006261DF"/>
    <w:rsid w:val="00642074"/>
    <w:rsid w:val="00642904"/>
    <w:rsid w:val="00656B29"/>
    <w:rsid w:val="00660780"/>
    <w:rsid w:val="00667A1B"/>
    <w:rsid w:val="00683F13"/>
    <w:rsid w:val="0069521D"/>
    <w:rsid w:val="00695E58"/>
    <w:rsid w:val="00697AA1"/>
    <w:rsid w:val="006A1329"/>
    <w:rsid w:val="006A66F9"/>
    <w:rsid w:val="006C77F1"/>
    <w:rsid w:val="006D68C7"/>
    <w:rsid w:val="006E2677"/>
    <w:rsid w:val="006F2EE8"/>
    <w:rsid w:val="00713A47"/>
    <w:rsid w:val="007208AB"/>
    <w:rsid w:val="00720DFF"/>
    <w:rsid w:val="007466E0"/>
    <w:rsid w:val="00762CC5"/>
    <w:rsid w:val="00764025"/>
    <w:rsid w:val="00774464"/>
    <w:rsid w:val="007846B3"/>
    <w:rsid w:val="007906B4"/>
    <w:rsid w:val="007A3012"/>
    <w:rsid w:val="007A5FCF"/>
    <w:rsid w:val="007A7F58"/>
    <w:rsid w:val="007D1244"/>
    <w:rsid w:val="007D1AF6"/>
    <w:rsid w:val="007E759D"/>
    <w:rsid w:val="007F49FD"/>
    <w:rsid w:val="008115D5"/>
    <w:rsid w:val="00812471"/>
    <w:rsid w:val="008261A5"/>
    <w:rsid w:val="0083382E"/>
    <w:rsid w:val="00853339"/>
    <w:rsid w:val="00855325"/>
    <w:rsid w:val="00862E34"/>
    <w:rsid w:val="00865915"/>
    <w:rsid w:val="00866AE7"/>
    <w:rsid w:val="00871832"/>
    <w:rsid w:val="00886CCE"/>
    <w:rsid w:val="00890348"/>
    <w:rsid w:val="00895028"/>
    <w:rsid w:val="00896B33"/>
    <w:rsid w:val="008A00C5"/>
    <w:rsid w:val="008A62FB"/>
    <w:rsid w:val="008A77B7"/>
    <w:rsid w:val="008B0F67"/>
    <w:rsid w:val="008B470A"/>
    <w:rsid w:val="008C608D"/>
    <w:rsid w:val="008E1C5F"/>
    <w:rsid w:val="008E461D"/>
    <w:rsid w:val="008F08E5"/>
    <w:rsid w:val="008F0EA4"/>
    <w:rsid w:val="008F423B"/>
    <w:rsid w:val="008F5213"/>
    <w:rsid w:val="0090748B"/>
    <w:rsid w:val="00920C9C"/>
    <w:rsid w:val="00922754"/>
    <w:rsid w:val="00925781"/>
    <w:rsid w:val="009258D0"/>
    <w:rsid w:val="00935AB3"/>
    <w:rsid w:val="00957DE0"/>
    <w:rsid w:val="009734CE"/>
    <w:rsid w:val="009864F4"/>
    <w:rsid w:val="00996E1A"/>
    <w:rsid w:val="009A0E66"/>
    <w:rsid w:val="009B3C8C"/>
    <w:rsid w:val="009D24DA"/>
    <w:rsid w:val="009D5D75"/>
    <w:rsid w:val="009F32A2"/>
    <w:rsid w:val="009F54CE"/>
    <w:rsid w:val="00A06264"/>
    <w:rsid w:val="00A07CA3"/>
    <w:rsid w:val="00A14078"/>
    <w:rsid w:val="00A1639A"/>
    <w:rsid w:val="00A215C9"/>
    <w:rsid w:val="00A52CBD"/>
    <w:rsid w:val="00A5364B"/>
    <w:rsid w:val="00A615E0"/>
    <w:rsid w:val="00A61BBC"/>
    <w:rsid w:val="00A65E2B"/>
    <w:rsid w:val="00A72D61"/>
    <w:rsid w:val="00A74AA0"/>
    <w:rsid w:val="00A7546D"/>
    <w:rsid w:val="00A77100"/>
    <w:rsid w:val="00AA4D97"/>
    <w:rsid w:val="00AC0717"/>
    <w:rsid w:val="00AD17B7"/>
    <w:rsid w:val="00B077D5"/>
    <w:rsid w:val="00B150EF"/>
    <w:rsid w:val="00B200E4"/>
    <w:rsid w:val="00B35B6D"/>
    <w:rsid w:val="00B35DC6"/>
    <w:rsid w:val="00B47901"/>
    <w:rsid w:val="00B51699"/>
    <w:rsid w:val="00B53FAF"/>
    <w:rsid w:val="00B559C4"/>
    <w:rsid w:val="00B63153"/>
    <w:rsid w:val="00B6527D"/>
    <w:rsid w:val="00B73550"/>
    <w:rsid w:val="00B73B3A"/>
    <w:rsid w:val="00B74507"/>
    <w:rsid w:val="00B75718"/>
    <w:rsid w:val="00B75E7E"/>
    <w:rsid w:val="00B81983"/>
    <w:rsid w:val="00B92005"/>
    <w:rsid w:val="00B93817"/>
    <w:rsid w:val="00B9622F"/>
    <w:rsid w:val="00BA0B96"/>
    <w:rsid w:val="00BB15DA"/>
    <w:rsid w:val="00BB340D"/>
    <w:rsid w:val="00BC2A3A"/>
    <w:rsid w:val="00BC64EC"/>
    <w:rsid w:val="00BD073D"/>
    <w:rsid w:val="00BE3639"/>
    <w:rsid w:val="00BF3AFD"/>
    <w:rsid w:val="00BF4F54"/>
    <w:rsid w:val="00C1606C"/>
    <w:rsid w:val="00C23180"/>
    <w:rsid w:val="00C41492"/>
    <w:rsid w:val="00C519D3"/>
    <w:rsid w:val="00C702B5"/>
    <w:rsid w:val="00C70389"/>
    <w:rsid w:val="00C72EED"/>
    <w:rsid w:val="00C82B6C"/>
    <w:rsid w:val="00C8617F"/>
    <w:rsid w:val="00C904B6"/>
    <w:rsid w:val="00C96DF4"/>
    <w:rsid w:val="00CA25A2"/>
    <w:rsid w:val="00CC1337"/>
    <w:rsid w:val="00CC48DF"/>
    <w:rsid w:val="00CD0EFC"/>
    <w:rsid w:val="00CD4CE5"/>
    <w:rsid w:val="00CD70E7"/>
    <w:rsid w:val="00CD7363"/>
    <w:rsid w:val="00CE0C1F"/>
    <w:rsid w:val="00CE455F"/>
    <w:rsid w:val="00CE687E"/>
    <w:rsid w:val="00CF0BF9"/>
    <w:rsid w:val="00CF0C9B"/>
    <w:rsid w:val="00CF5957"/>
    <w:rsid w:val="00D04BA2"/>
    <w:rsid w:val="00D077B0"/>
    <w:rsid w:val="00D21B3B"/>
    <w:rsid w:val="00D22D42"/>
    <w:rsid w:val="00D24B4C"/>
    <w:rsid w:val="00D36D8D"/>
    <w:rsid w:val="00D45711"/>
    <w:rsid w:val="00D500FC"/>
    <w:rsid w:val="00D5104F"/>
    <w:rsid w:val="00D51597"/>
    <w:rsid w:val="00D5326E"/>
    <w:rsid w:val="00D55867"/>
    <w:rsid w:val="00D634A3"/>
    <w:rsid w:val="00D71987"/>
    <w:rsid w:val="00D72339"/>
    <w:rsid w:val="00D73E47"/>
    <w:rsid w:val="00D74ABB"/>
    <w:rsid w:val="00D83CB7"/>
    <w:rsid w:val="00D84CB5"/>
    <w:rsid w:val="00D97FA8"/>
    <w:rsid w:val="00DA054B"/>
    <w:rsid w:val="00DA7F55"/>
    <w:rsid w:val="00DC7B25"/>
    <w:rsid w:val="00DD49AB"/>
    <w:rsid w:val="00DD6B73"/>
    <w:rsid w:val="00E06E94"/>
    <w:rsid w:val="00E112C9"/>
    <w:rsid w:val="00E158F7"/>
    <w:rsid w:val="00E2087E"/>
    <w:rsid w:val="00E31133"/>
    <w:rsid w:val="00E36818"/>
    <w:rsid w:val="00E412AB"/>
    <w:rsid w:val="00E47B97"/>
    <w:rsid w:val="00E5203C"/>
    <w:rsid w:val="00E634CC"/>
    <w:rsid w:val="00E70681"/>
    <w:rsid w:val="00E82F0E"/>
    <w:rsid w:val="00E90DFD"/>
    <w:rsid w:val="00E91959"/>
    <w:rsid w:val="00E96FAC"/>
    <w:rsid w:val="00EA129F"/>
    <w:rsid w:val="00EB2E4B"/>
    <w:rsid w:val="00ED0582"/>
    <w:rsid w:val="00EE31F6"/>
    <w:rsid w:val="00EE36DC"/>
    <w:rsid w:val="00EE7304"/>
    <w:rsid w:val="00F044EE"/>
    <w:rsid w:val="00F13885"/>
    <w:rsid w:val="00F23BDE"/>
    <w:rsid w:val="00F26E7B"/>
    <w:rsid w:val="00F32759"/>
    <w:rsid w:val="00F3320B"/>
    <w:rsid w:val="00F40E92"/>
    <w:rsid w:val="00F41947"/>
    <w:rsid w:val="00F435AA"/>
    <w:rsid w:val="00F448CB"/>
    <w:rsid w:val="00F635B4"/>
    <w:rsid w:val="00F67DD8"/>
    <w:rsid w:val="00F750C9"/>
    <w:rsid w:val="00F76C6A"/>
    <w:rsid w:val="00F83BF1"/>
    <w:rsid w:val="00F90CB9"/>
    <w:rsid w:val="00F944DB"/>
    <w:rsid w:val="00F97373"/>
    <w:rsid w:val="00FA6854"/>
    <w:rsid w:val="00FB064F"/>
    <w:rsid w:val="00FB144F"/>
    <w:rsid w:val="00FB159A"/>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0BBF27"/>
  <w15:docId w15:val="{D9EB33C8-758A-4265-B5F9-155D95D3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1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F32759"/>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character" w:styleId="Kommentarzeichen">
    <w:name w:val="annotation reference"/>
    <w:basedOn w:val="Absatz-Standardschriftart"/>
    <w:uiPriority w:val="99"/>
    <w:semiHidden/>
    <w:unhideWhenUsed/>
    <w:rsid w:val="00B73550"/>
    <w:rPr>
      <w:sz w:val="16"/>
      <w:szCs w:val="16"/>
    </w:rPr>
  </w:style>
  <w:style w:type="paragraph" w:styleId="Kommentartext">
    <w:name w:val="annotation text"/>
    <w:basedOn w:val="Standard"/>
    <w:link w:val="KommentartextZchn"/>
    <w:uiPriority w:val="99"/>
    <w:unhideWhenUsed/>
    <w:rsid w:val="00B73550"/>
    <w:rPr>
      <w:sz w:val="20"/>
      <w:szCs w:val="20"/>
    </w:rPr>
  </w:style>
  <w:style w:type="character" w:customStyle="1" w:styleId="KommentartextZchn">
    <w:name w:val="Kommentartext Zchn"/>
    <w:basedOn w:val="Absatz-Standardschriftart"/>
    <w:link w:val="Kommentartext"/>
    <w:uiPriority w:val="99"/>
    <w:rsid w:val="00B73550"/>
    <w:rPr>
      <w:sz w:val="20"/>
      <w:szCs w:val="20"/>
      <w:lang w:eastAsia="en-US"/>
    </w:rPr>
  </w:style>
  <w:style w:type="paragraph" w:styleId="Kommentarthema">
    <w:name w:val="annotation subject"/>
    <w:basedOn w:val="Kommentartext"/>
    <w:next w:val="Kommentartext"/>
    <w:link w:val="KommentarthemaZchn"/>
    <w:uiPriority w:val="99"/>
    <w:semiHidden/>
    <w:unhideWhenUsed/>
    <w:rsid w:val="00B73550"/>
    <w:rPr>
      <w:b/>
      <w:bCs/>
    </w:rPr>
  </w:style>
  <w:style w:type="character" w:customStyle="1" w:styleId="KommentarthemaZchn">
    <w:name w:val="Kommentarthema Zchn"/>
    <w:basedOn w:val="KommentartextZchn"/>
    <w:link w:val="Kommentarthema"/>
    <w:uiPriority w:val="99"/>
    <w:semiHidden/>
    <w:rsid w:val="00B73550"/>
    <w:rPr>
      <w:b/>
      <w:bCs/>
      <w:sz w:val="20"/>
      <w:szCs w:val="20"/>
      <w:lang w:eastAsia="en-US"/>
    </w:rPr>
  </w:style>
  <w:style w:type="character" w:styleId="Hervorhebung">
    <w:name w:val="Emphasis"/>
    <w:basedOn w:val="Absatz-Standardschriftart"/>
    <w:uiPriority w:val="20"/>
    <w:qFormat/>
    <w:locked/>
    <w:rsid w:val="00B559C4"/>
    <w:rPr>
      <w:i/>
      <w:iCs/>
    </w:rPr>
  </w:style>
  <w:style w:type="paragraph" w:customStyle="1" w:styleId="GrafikBeschriftungNL">
    <w:name w:val="Grafik Beschriftung NL"/>
    <w:basedOn w:val="FliesstextNL"/>
    <w:uiPriority w:val="99"/>
    <w:rsid w:val="00E06E94"/>
    <w:pPr>
      <w:jc w:val="left"/>
    </w:pPr>
    <w:rPr>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365639114">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D069-8A42-4161-A1A6-941D7808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5341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4</cp:revision>
  <cp:lastPrinted>2022-07-05T06:22:00Z</cp:lastPrinted>
  <dcterms:created xsi:type="dcterms:W3CDTF">2022-07-05T07:46:00Z</dcterms:created>
  <dcterms:modified xsi:type="dcterms:W3CDTF">2022-07-05T08:38:00Z</dcterms:modified>
</cp:coreProperties>
</file>