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074DE" w14:textId="4CD18C9D" w:rsidR="004526F6" w:rsidRPr="004B71A3" w:rsidRDefault="004B71A3" w:rsidP="004526F6">
      <w:pPr>
        <w:spacing w:after="0" w:line="360" w:lineRule="auto"/>
        <w:rPr>
          <w:rFonts w:ascii="Arial" w:hAnsi="Arial" w:cs="Arial"/>
          <w:b/>
          <w:sz w:val="28"/>
          <w:szCs w:val="28"/>
        </w:rPr>
      </w:pPr>
      <w:r>
        <w:rPr>
          <w:rFonts w:ascii="Arial" w:hAnsi="Arial"/>
          <w:b/>
        </w:rPr>
        <w:t xml:space="preserve">Hamburg: Office </w:t>
      </w:r>
      <w:r w:rsidR="001533C6">
        <w:rPr>
          <w:rFonts w:ascii="Arial" w:hAnsi="Arial"/>
          <w:b/>
        </w:rPr>
        <w:t>letting market</w:t>
      </w:r>
      <w:r>
        <w:rPr>
          <w:rFonts w:ascii="Arial" w:hAnsi="Arial"/>
          <w:b/>
        </w:rPr>
        <w:t>,</w:t>
      </w:r>
      <w:r w:rsidR="001533C6">
        <w:rPr>
          <w:rFonts w:ascii="Arial" w:hAnsi="Arial"/>
          <w:b/>
        </w:rPr>
        <w:t xml:space="preserve"> 1st-3rd quarters of 2022</w:t>
      </w:r>
      <w:r w:rsidR="001533C6">
        <w:rPr>
          <w:rFonts w:ascii="Arial" w:hAnsi="Arial"/>
          <w:b/>
        </w:rPr>
        <w:br/>
      </w:r>
      <w:r w:rsidR="001533C6" w:rsidRPr="004B71A3">
        <w:rPr>
          <w:rFonts w:ascii="Arial" w:hAnsi="Arial"/>
          <w:b/>
          <w:sz w:val="28"/>
          <w:szCs w:val="28"/>
        </w:rPr>
        <w:t>Potential tenants are recognizably less price sensitive</w:t>
      </w:r>
    </w:p>
    <w:p w14:paraId="18597652" w14:textId="1F9B6939" w:rsidR="001533C6" w:rsidRPr="0090748B" w:rsidRDefault="001533C6" w:rsidP="004526F6">
      <w:pPr>
        <w:spacing w:after="0" w:line="360" w:lineRule="auto"/>
        <w:rPr>
          <w:rFonts w:ascii="Arial" w:hAnsi="Arial" w:cs="Arial"/>
          <w:b/>
          <w:sz w:val="20"/>
          <w:szCs w:val="20"/>
        </w:rPr>
      </w:pPr>
    </w:p>
    <w:p w14:paraId="4659E9B6" w14:textId="44449EE9" w:rsidR="005B4202" w:rsidRPr="000D5E8E" w:rsidRDefault="001533C6" w:rsidP="000D5E8E">
      <w:pPr>
        <w:spacing w:after="0" w:line="360" w:lineRule="auto"/>
        <w:rPr>
          <w:rFonts w:ascii="Arial" w:hAnsi="Arial" w:cs="Arial"/>
          <w:color w:val="FF0000"/>
          <w:sz w:val="20"/>
          <w:szCs w:val="20"/>
        </w:rPr>
      </w:pPr>
      <w:r>
        <w:rPr>
          <w:rFonts w:ascii="Arial" w:hAnsi="Arial"/>
          <w:b/>
          <w:sz w:val="20"/>
          <w:szCs w:val="20"/>
        </w:rPr>
        <w:t>Hamburg, 5 October 2022</w:t>
      </w:r>
      <w:r>
        <w:rPr>
          <w:rFonts w:ascii="Arial" w:hAnsi="Arial"/>
          <w:sz w:val="20"/>
          <w:szCs w:val="20"/>
        </w:rPr>
        <w:t xml:space="preserve"> – </w:t>
      </w:r>
      <w:r w:rsidR="00A6674D">
        <w:rPr>
          <w:rFonts w:ascii="Arial" w:hAnsi="Arial"/>
          <w:sz w:val="20"/>
          <w:szCs w:val="20"/>
        </w:rPr>
        <w:t>Very</w:t>
      </w:r>
      <w:r>
        <w:rPr>
          <w:rFonts w:ascii="Arial" w:hAnsi="Arial"/>
          <w:sz w:val="20"/>
          <w:szCs w:val="20"/>
        </w:rPr>
        <w:t xml:space="preserve"> brisk business on the market for office lets in Hamburg generated a year on year increase in take-up of around 30 % by the end of September. Just two of the year’s biggest agreements, signed by </w:t>
      </w:r>
      <w:proofErr w:type="spellStart"/>
      <w:r>
        <w:rPr>
          <w:rFonts w:ascii="Arial" w:hAnsi="Arial"/>
          <w:sz w:val="20"/>
          <w:szCs w:val="20"/>
        </w:rPr>
        <w:t>Dataport</w:t>
      </w:r>
      <w:proofErr w:type="spellEnd"/>
      <w:r>
        <w:rPr>
          <w:rFonts w:ascii="Arial" w:hAnsi="Arial"/>
          <w:sz w:val="20"/>
          <w:szCs w:val="20"/>
        </w:rPr>
        <w:t xml:space="preserve"> and </w:t>
      </w:r>
      <w:proofErr w:type="spellStart"/>
      <w:r>
        <w:rPr>
          <w:rFonts w:ascii="Arial" w:hAnsi="Arial"/>
          <w:sz w:val="20"/>
          <w:szCs w:val="20"/>
        </w:rPr>
        <w:t>Haspa</w:t>
      </w:r>
      <w:proofErr w:type="spellEnd"/>
      <w:r>
        <w:rPr>
          <w:rFonts w:ascii="Arial" w:hAnsi="Arial"/>
          <w:sz w:val="20"/>
          <w:szCs w:val="20"/>
        </w:rPr>
        <w:t xml:space="preserve"> bank, together accounted for 70,000 m² of space. Latest fig</w:t>
      </w:r>
      <w:r w:rsidR="004B71A3">
        <w:rPr>
          <w:rFonts w:ascii="Arial" w:hAnsi="Arial"/>
          <w:sz w:val="20"/>
          <w:szCs w:val="20"/>
        </w:rPr>
        <w:t xml:space="preserve">ures from Grossmann &amp; Berger, </w:t>
      </w:r>
      <w:r>
        <w:rPr>
          <w:rFonts w:ascii="Arial" w:hAnsi="Arial"/>
          <w:sz w:val="20"/>
          <w:szCs w:val="20"/>
        </w:rPr>
        <w:t>member of German Property Partners (GPP), show a total for the year to date of 465,000 m². At the end of th</w:t>
      </w:r>
      <w:r w:rsidR="004B71A3">
        <w:rPr>
          <w:rFonts w:ascii="Arial" w:hAnsi="Arial"/>
          <w:sz w:val="20"/>
          <w:szCs w:val="20"/>
        </w:rPr>
        <w:t xml:space="preserve">e 3rd quarter, Hamburg’s office </w:t>
      </w:r>
      <w:r>
        <w:rPr>
          <w:rFonts w:ascii="Arial" w:hAnsi="Arial"/>
          <w:sz w:val="20"/>
          <w:szCs w:val="20"/>
        </w:rPr>
        <w:t xml:space="preserve">letting business </w:t>
      </w:r>
      <w:r w:rsidR="004D390E">
        <w:rPr>
          <w:rFonts w:ascii="Arial" w:hAnsi="Arial"/>
          <w:sz w:val="20"/>
          <w:szCs w:val="20"/>
        </w:rPr>
        <w:t>had thus reached a level seen in the</w:t>
      </w:r>
      <w:r>
        <w:rPr>
          <w:rFonts w:ascii="Arial" w:hAnsi="Arial"/>
          <w:sz w:val="20"/>
          <w:szCs w:val="20"/>
        </w:rPr>
        <w:t xml:space="preserve"> record year 2017. The high volume of space let in new or good as new buildings (+54 % year on year) pushed premium and average rents to new highs. </w:t>
      </w:r>
      <w:r>
        <w:rPr>
          <w:rFonts w:ascii="Arial" w:hAnsi="Arial"/>
          <w:i/>
          <w:sz w:val="20"/>
          <w:szCs w:val="20"/>
        </w:rPr>
        <w:t>“In the struggle to attract qualified staff, employers have become noticeably less price sensitive; increasingly, firms seek and rent top quality office space in central locations,”</w:t>
      </w:r>
      <w:r>
        <w:rPr>
          <w:rFonts w:ascii="Arial" w:hAnsi="Arial"/>
          <w:sz w:val="20"/>
          <w:szCs w:val="20"/>
        </w:rPr>
        <w:t xml:space="preserve"> says </w:t>
      </w:r>
      <w:r>
        <w:rPr>
          <w:rFonts w:ascii="Arial" w:hAnsi="Arial"/>
          <w:b/>
          <w:sz w:val="20"/>
          <w:szCs w:val="20"/>
        </w:rPr>
        <w:t xml:space="preserve">Andreas </w:t>
      </w:r>
      <w:proofErr w:type="spellStart"/>
      <w:r>
        <w:rPr>
          <w:rFonts w:ascii="Arial" w:hAnsi="Arial"/>
          <w:b/>
          <w:sz w:val="20"/>
          <w:szCs w:val="20"/>
        </w:rPr>
        <w:t>Rehberg</w:t>
      </w:r>
      <w:proofErr w:type="spellEnd"/>
      <w:r>
        <w:rPr>
          <w:rFonts w:ascii="Arial" w:hAnsi="Arial"/>
          <w:sz w:val="20"/>
          <w:szCs w:val="20"/>
        </w:rPr>
        <w:t xml:space="preserve">, spokesperson for the G&amp;B management board. </w:t>
      </w:r>
      <w:r>
        <w:rPr>
          <w:rFonts w:ascii="Arial" w:hAnsi="Arial"/>
          <w:i/>
          <w:sz w:val="20"/>
          <w:szCs w:val="20"/>
        </w:rPr>
        <w:t>“At the moment some companies are still looking for large premises and agreements could be concluded before the close of 2022. It is therefore realistic to believe that the final total for the year will be 600,000 square metres of take-up. Moreover, a growing number of fi</w:t>
      </w:r>
      <w:r w:rsidR="004D390E">
        <w:rPr>
          <w:rFonts w:ascii="Arial" w:hAnsi="Arial"/>
          <w:i/>
          <w:sz w:val="20"/>
          <w:szCs w:val="20"/>
        </w:rPr>
        <w:t>rms in Germany’s “</w:t>
      </w:r>
      <w:proofErr w:type="spellStart"/>
      <w:r w:rsidR="004D390E">
        <w:rPr>
          <w:rFonts w:ascii="Arial" w:hAnsi="Arial"/>
          <w:i/>
          <w:sz w:val="20"/>
          <w:szCs w:val="20"/>
        </w:rPr>
        <w:t>Mittelstand</w:t>
      </w:r>
      <w:proofErr w:type="spellEnd"/>
      <w:r w:rsidR="004D390E">
        <w:rPr>
          <w:rFonts w:ascii="Arial" w:hAnsi="Arial"/>
          <w:i/>
          <w:sz w:val="20"/>
          <w:szCs w:val="20"/>
        </w:rPr>
        <w:t>” are</w:t>
      </w:r>
      <w:r>
        <w:rPr>
          <w:rFonts w:ascii="Arial" w:hAnsi="Arial"/>
          <w:i/>
          <w:sz w:val="20"/>
          <w:szCs w:val="20"/>
        </w:rPr>
        <w:t xml:space="preserve"> also starting the search for new office space. Therefore, despite the many risks facing the economy, the market’s momentum is likely to continue and carry over into next year.”</w:t>
      </w:r>
      <w:r>
        <w:rPr>
          <w:rFonts w:ascii="Arial" w:hAnsi="Arial"/>
          <w:sz w:val="20"/>
          <w:szCs w:val="20"/>
        </w:rPr>
        <w:t xml:space="preserve"> </w:t>
      </w:r>
    </w:p>
    <w:p w14:paraId="0E0F7BA0" w14:textId="77777777" w:rsidR="00475BA6" w:rsidRPr="00475BA6" w:rsidRDefault="00475BA6" w:rsidP="000D5E8E">
      <w:pPr>
        <w:pStyle w:val="FliesstextNL"/>
        <w:spacing w:line="360" w:lineRule="auto"/>
        <w:jc w:val="left"/>
        <w:rPr>
          <w:rFonts w:ascii="Arial" w:hAnsi="Arial" w:cs="Arial"/>
          <w:b/>
          <w:color w:val="auto"/>
          <w:sz w:val="20"/>
          <w:szCs w:val="20"/>
        </w:rPr>
      </w:pPr>
    </w:p>
    <w:p w14:paraId="7491727E" w14:textId="4ACA1A25" w:rsidR="001533C6" w:rsidRDefault="001533C6" w:rsidP="001533C6">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0991B84F" w14:textId="3B540DEB" w:rsidR="00A5264B" w:rsidRPr="005E4D11" w:rsidRDefault="00A829BA" w:rsidP="003C2D45">
      <w:pPr>
        <w:pStyle w:val="Listenabsatz"/>
        <w:numPr>
          <w:ilvl w:val="0"/>
          <w:numId w:val="17"/>
        </w:numPr>
        <w:spacing w:after="0" w:line="360" w:lineRule="auto"/>
        <w:rPr>
          <w:rFonts w:ascii="Arial" w:hAnsi="Arial" w:cs="Arial"/>
          <w:sz w:val="20"/>
          <w:szCs w:val="20"/>
        </w:rPr>
      </w:pPr>
      <w:r>
        <w:rPr>
          <w:rFonts w:ascii="Arial" w:hAnsi="Arial"/>
          <w:sz w:val="20"/>
          <w:szCs w:val="20"/>
        </w:rPr>
        <w:t xml:space="preserve">To date, large-volume </w:t>
      </w:r>
      <w:r w:rsidRPr="004B71A3">
        <w:rPr>
          <w:rFonts w:ascii="Arial" w:hAnsi="Arial"/>
          <w:sz w:val="20"/>
          <w:szCs w:val="20"/>
          <w:u w:val="single"/>
        </w:rPr>
        <w:t>agreements</w:t>
      </w:r>
      <w:r>
        <w:rPr>
          <w:rFonts w:ascii="Arial" w:hAnsi="Arial"/>
          <w:sz w:val="20"/>
          <w:szCs w:val="20"/>
        </w:rPr>
        <w:t xml:space="preserve">, i.e. those for more than 5,000 m², have dominated the market. Year on year the number of such contracts increased from ten to 18, the volume more than doubled. Their share of the total volume was around 40 %. </w:t>
      </w:r>
      <w:r>
        <w:rPr>
          <w:rFonts w:ascii="Arial" w:hAnsi="Arial"/>
          <w:i/>
          <w:sz w:val="20"/>
          <w:szCs w:val="20"/>
        </w:rPr>
        <w:t xml:space="preserve">“Due to the agreement signed by </w:t>
      </w:r>
      <w:proofErr w:type="spellStart"/>
      <w:r>
        <w:rPr>
          <w:rFonts w:ascii="Arial" w:hAnsi="Arial"/>
          <w:i/>
          <w:sz w:val="20"/>
          <w:szCs w:val="20"/>
        </w:rPr>
        <w:t>Dataport</w:t>
      </w:r>
      <w:proofErr w:type="spellEnd"/>
      <w:r>
        <w:rPr>
          <w:rFonts w:ascii="Arial" w:hAnsi="Arial"/>
          <w:i/>
          <w:sz w:val="20"/>
          <w:szCs w:val="20"/>
        </w:rPr>
        <w:t xml:space="preserve">, companies from the information and telecommunications </w:t>
      </w:r>
      <w:r>
        <w:rPr>
          <w:rFonts w:ascii="Arial" w:hAnsi="Arial"/>
          <w:i/>
          <w:sz w:val="20"/>
          <w:szCs w:val="20"/>
          <w:u w:val="single"/>
        </w:rPr>
        <w:t>sector</w:t>
      </w:r>
      <w:r>
        <w:rPr>
          <w:rFonts w:ascii="Arial" w:hAnsi="Arial"/>
          <w:i/>
          <w:sz w:val="20"/>
          <w:szCs w:val="20"/>
        </w:rPr>
        <w:t xml:space="preserve"> of industry took the largest share of the market – 19 </w:t>
      </w:r>
      <w:r w:rsidR="004B71A3">
        <w:rPr>
          <w:rFonts w:ascii="Arial" w:hAnsi="Arial"/>
          <w:i/>
          <w:sz w:val="20"/>
          <w:szCs w:val="20"/>
        </w:rPr>
        <w:t>per cent.</w:t>
      </w:r>
      <w:r>
        <w:rPr>
          <w:rFonts w:ascii="Arial" w:hAnsi="Arial"/>
          <w:sz w:val="20"/>
          <w:szCs w:val="20"/>
        </w:rPr>
        <w:t xml:space="preserve"> </w:t>
      </w:r>
      <w:r>
        <w:rPr>
          <w:rFonts w:ascii="Arial" w:hAnsi="Arial"/>
          <w:i/>
          <w:sz w:val="20"/>
          <w:szCs w:val="20"/>
        </w:rPr>
        <w:t>At 40,</w:t>
      </w:r>
      <w:r w:rsidR="004B71A3">
        <w:rPr>
          <w:rFonts w:ascii="Arial" w:hAnsi="Arial"/>
          <w:i/>
          <w:sz w:val="20"/>
          <w:szCs w:val="20"/>
        </w:rPr>
        <w:t>030</w:t>
      </w:r>
      <w:r>
        <w:rPr>
          <w:rFonts w:ascii="Arial" w:hAnsi="Arial"/>
          <w:i/>
          <w:sz w:val="20"/>
          <w:szCs w:val="20"/>
        </w:rPr>
        <w:t xml:space="preserve"> square metres, it also represented the third-largest office let so far registered in Hamburg,”</w:t>
      </w:r>
      <w:r>
        <w:rPr>
          <w:rFonts w:ascii="Arial" w:hAnsi="Arial"/>
          <w:sz w:val="20"/>
          <w:szCs w:val="20"/>
        </w:rPr>
        <w:t xml:space="preserve"> remarks </w:t>
      </w:r>
      <w:proofErr w:type="spellStart"/>
      <w:r>
        <w:rPr>
          <w:rFonts w:ascii="Arial" w:hAnsi="Arial"/>
          <w:b/>
          <w:sz w:val="20"/>
          <w:szCs w:val="20"/>
        </w:rPr>
        <w:t>Rehberg</w:t>
      </w:r>
      <w:proofErr w:type="spellEnd"/>
      <w:r>
        <w:rPr>
          <w:rFonts w:ascii="Arial" w:hAnsi="Arial"/>
          <w:sz w:val="20"/>
          <w:szCs w:val="20"/>
        </w:rPr>
        <w:t xml:space="preserve">. </w:t>
      </w:r>
    </w:p>
    <w:p w14:paraId="4FF5286D" w14:textId="5774E999" w:rsidR="00A04A9E" w:rsidRDefault="00A04A9E" w:rsidP="00213F07">
      <w:pPr>
        <w:pStyle w:val="Listenabsatz"/>
        <w:numPr>
          <w:ilvl w:val="0"/>
          <w:numId w:val="17"/>
        </w:numPr>
        <w:spacing w:after="0" w:line="360" w:lineRule="auto"/>
        <w:rPr>
          <w:rFonts w:ascii="Arial" w:hAnsi="Arial" w:cs="Arial"/>
          <w:sz w:val="20"/>
          <w:szCs w:val="20"/>
        </w:rPr>
      </w:pPr>
      <w:r>
        <w:rPr>
          <w:rFonts w:ascii="Arial" w:hAnsi="Arial"/>
          <w:sz w:val="20"/>
          <w:szCs w:val="20"/>
        </w:rPr>
        <w:t xml:space="preserve">At the end of the 3rd quarter 31 % of all space let was in the </w:t>
      </w:r>
      <w:r>
        <w:rPr>
          <w:rFonts w:ascii="Arial" w:hAnsi="Arial"/>
          <w:sz w:val="20"/>
          <w:szCs w:val="20"/>
          <w:u w:val="single"/>
        </w:rPr>
        <w:t>rental price category</w:t>
      </w:r>
      <w:r>
        <w:rPr>
          <w:rFonts w:ascii="Arial" w:hAnsi="Arial"/>
          <w:sz w:val="20"/>
          <w:szCs w:val="20"/>
        </w:rPr>
        <w:t xml:space="preserve"> &gt; €25.00/m²/month whereas a year ago 6 % fell into this bracket. During the same period, the proportion of agreements for space costing &gt; €30/m²/month rose from </w:t>
      </w:r>
      <w:proofErr w:type="gramStart"/>
      <w:r>
        <w:rPr>
          <w:rFonts w:ascii="Arial" w:hAnsi="Arial"/>
          <w:sz w:val="20"/>
          <w:szCs w:val="20"/>
        </w:rPr>
        <w:t>1</w:t>
      </w:r>
      <w:proofErr w:type="gramEnd"/>
      <w:r>
        <w:rPr>
          <w:rFonts w:ascii="Arial" w:hAnsi="Arial"/>
          <w:sz w:val="20"/>
          <w:szCs w:val="20"/>
        </w:rPr>
        <w:t xml:space="preserve"> to 11 %. </w:t>
      </w:r>
    </w:p>
    <w:p w14:paraId="4AF46028" w14:textId="371488F1" w:rsidR="004526F6" w:rsidRPr="00A04A9E" w:rsidRDefault="00A04A9E" w:rsidP="00213F07">
      <w:pPr>
        <w:pStyle w:val="Listenabsatz"/>
        <w:numPr>
          <w:ilvl w:val="0"/>
          <w:numId w:val="17"/>
        </w:numPr>
        <w:spacing w:after="0" w:line="360" w:lineRule="auto"/>
        <w:rPr>
          <w:rFonts w:ascii="Arial" w:hAnsi="Arial" w:cs="Arial"/>
          <w:sz w:val="20"/>
          <w:szCs w:val="20"/>
        </w:rPr>
      </w:pPr>
      <w:r>
        <w:rPr>
          <w:rFonts w:ascii="Arial" w:hAnsi="Arial"/>
          <w:sz w:val="20"/>
          <w:szCs w:val="20"/>
        </w:rPr>
        <w:t>Therefore</w:t>
      </w:r>
      <w:r w:rsidR="004B71A3">
        <w:rPr>
          <w:rFonts w:ascii="Arial" w:hAnsi="Arial"/>
          <w:sz w:val="20"/>
          <w:szCs w:val="20"/>
        </w:rPr>
        <w:t>,</w:t>
      </w:r>
      <w:r>
        <w:rPr>
          <w:rFonts w:ascii="Arial" w:hAnsi="Arial"/>
          <w:sz w:val="20"/>
          <w:szCs w:val="20"/>
        </w:rPr>
        <w:t xml:space="preserve"> the </w:t>
      </w:r>
      <w:r>
        <w:rPr>
          <w:rFonts w:ascii="Arial" w:hAnsi="Arial"/>
          <w:sz w:val="20"/>
          <w:szCs w:val="20"/>
          <w:u w:val="single"/>
        </w:rPr>
        <w:t>average rent</w:t>
      </w:r>
      <w:r>
        <w:rPr>
          <w:rFonts w:ascii="Arial" w:hAnsi="Arial"/>
          <w:sz w:val="20"/>
          <w:szCs w:val="20"/>
        </w:rPr>
        <w:t xml:space="preserve">, weighted by area let, rose by 16 % to a new high of €21.00/m²/month. Short supply has driven </w:t>
      </w:r>
      <w:r w:rsidR="004B71A3">
        <w:rPr>
          <w:rFonts w:ascii="Arial" w:hAnsi="Arial"/>
          <w:sz w:val="20"/>
          <w:szCs w:val="20"/>
        </w:rPr>
        <w:t xml:space="preserve">the </w:t>
      </w:r>
      <w:r w:rsidRPr="004B71A3">
        <w:rPr>
          <w:rFonts w:ascii="Arial" w:hAnsi="Arial"/>
          <w:sz w:val="20"/>
          <w:szCs w:val="20"/>
          <w:u w:val="single"/>
        </w:rPr>
        <w:t>premium ren</w:t>
      </w:r>
      <w:r w:rsidR="004B71A3" w:rsidRPr="004B71A3">
        <w:rPr>
          <w:rFonts w:ascii="Arial" w:hAnsi="Arial"/>
          <w:sz w:val="20"/>
          <w:szCs w:val="20"/>
          <w:u w:val="single"/>
        </w:rPr>
        <w:t>t</w:t>
      </w:r>
      <w:r w:rsidR="004B71A3">
        <w:rPr>
          <w:rFonts w:ascii="Arial" w:hAnsi="Arial"/>
          <w:sz w:val="20"/>
          <w:szCs w:val="20"/>
        </w:rPr>
        <w:t xml:space="preserve"> up by 6 % to a new high of €</w:t>
      </w:r>
      <w:r>
        <w:rPr>
          <w:rFonts w:ascii="Arial" w:hAnsi="Arial"/>
          <w:sz w:val="20"/>
          <w:szCs w:val="20"/>
        </w:rPr>
        <w:t>33.50/m²/month.</w:t>
      </w:r>
    </w:p>
    <w:p w14:paraId="248046A1" w14:textId="089727D7" w:rsidR="004526F6" w:rsidRPr="00192B9D" w:rsidRDefault="008A6585" w:rsidP="00D770FB">
      <w:pPr>
        <w:pStyle w:val="Listenabsatz"/>
        <w:numPr>
          <w:ilvl w:val="0"/>
          <w:numId w:val="17"/>
        </w:numPr>
        <w:spacing w:after="0" w:line="360" w:lineRule="auto"/>
        <w:rPr>
          <w:rFonts w:ascii="Arial" w:hAnsi="Arial" w:cs="Arial"/>
          <w:sz w:val="20"/>
          <w:szCs w:val="20"/>
        </w:rPr>
      </w:pPr>
      <w:r>
        <w:rPr>
          <w:rFonts w:ascii="Arial" w:hAnsi="Arial"/>
          <w:sz w:val="20"/>
          <w:szCs w:val="20"/>
        </w:rPr>
        <w:t xml:space="preserve">Together, the </w:t>
      </w:r>
      <w:r>
        <w:rPr>
          <w:rFonts w:ascii="Arial" w:hAnsi="Arial"/>
          <w:sz w:val="20"/>
          <w:szCs w:val="20"/>
          <w:u w:val="single"/>
        </w:rPr>
        <w:t>sub-markets</w:t>
      </w:r>
      <w:r>
        <w:rPr>
          <w:rFonts w:ascii="Arial" w:hAnsi="Arial"/>
          <w:sz w:val="20"/>
          <w:szCs w:val="20"/>
        </w:rPr>
        <w:t xml:space="preserve"> City and HafenCity accounted for 47 % of take-up compared with 31 % at the end of the 3rd quarter of 2021. </w:t>
      </w:r>
      <w:r>
        <w:rPr>
          <w:rFonts w:ascii="Arial" w:hAnsi="Arial"/>
          <w:i/>
          <w:sz w:val="20"/>
          <w:szCs w:val="20"/>
        </w:rPr>
        <w:t>“In both of these two major sub-markets there are many development projects which offer exactly what tenants are currently seeking, such as the ‘</w:t>
      </w:r>
      <w:proofErr w:type="spellStart"/>
      <w:r>
        <w:rPr>
          <w:rFonts w:ascii="Arial" w:hAnsi="Arial"/>
          <w:i/>
          <w:sz w:val="20"/>
          <w:szCs w:val="20"/>
        </w:rPr>
        <w:t>Deutschlandhaus</w:t>
      </w:r>
      <w:proofErr w:type="spellEnd"/>
      <w:r>
        <w:rPr>
          <w:rFonts w:ascii="Arial" w:hAnsi="Arial"/>
          <w:i/>
          <w:sz w:val="20"/>
          <w:szCs w:val="20"/>
        </w:rPr>
        <w:t>’ in City or the ‘Westfield Hamburg-</w:t>
      </w:r>
      <w:proofErr w:type="spellStart"/>
      <w:r>
        <w:rPr>
          <w:rFonts w:ascii="Arial" w:hAnsi="Arial"/>
          <w:i/>
          <w:sz w:val="20"/>
          <w:szCs w:val="20"/>
        </w:rPr>
        <w:t>Überseequartier</w:t>
      </w:r>
      <w:proofErr w:type="spellEnd"/>
      <w:r>
        <w:rPr>
          <w:rFonts w:ascii="Arial" w:hAnsi="Arial"/>
          <w:i/>
          <w:sz w:val="20"/>
          <w:szCs w:val="20"/>
        </w:rPr>
        <w:t xml:space="preserve"> in HafenCity district”,</w:t>
      </w:r>
      <w:r>
        <w:rPr>
          <w:rFonts w:ascii="Arial" w:hAnsi="Arial"/>
          <w:sz w:val="20"/>
          <w:szCs w:val="20"/>
        </w:rPr>
        <w:t xml:space="preserve"> remarks </w:t>
      </w:r>
      <w:proofErr w:type="spellStart"/>
      <w:r>
        <w:rPr>
          <w:rFonts w:ascii="Arial" w:hAnsi="Arial"/>
          <w:b/>
          <w:sz w:val="20"/>
          <w:szCs w:val="20"/>
        </w:rPr>
        <w:t>Rehberg</w:t>
      </w:r>
      <w:proofErr w:type="spellEnd"/>
      <w:r w:rsidRPr="004B71A3">
        <w:rPr>
          <w:rFonts w:ascii="Arial" w:hAnsi="Arial"/>
          <w:sz w:val="20"/>
          <w:szCs w:val="20"/>
        </w:rPr>
        <w:t>.</w:t>
      </w:r>
    </w:p>
    <w:p w14:paraId="09C17EEF" w14:textId="4A5E4BED" w:rsidR="004526F6" w:rsidRPr="00FF283F" w:rsidRDefault="004526F6" w:rsidP="00657E35">
      <w:pPr>
        <w:pStyle w:val="Listenabsatz"/>
        <w:numPr>
          <w:ilvl w:val="0"/>
          <w:numId w:val="17"/>
        </w:numPr>
        <w:spacing w:after="0" w:line="360" w:lineRule="auto"/>
        <w:rPr>
          <w:rFonts w:ascii="Arial" w:hAnsi="Arial" w:cs="Arial"/>
          <w:sz w:val="20"/>
          <w:szCs w:val="20"/>
        </w:rPr>
      </w:pPr>
      <w:r>
        <w:rPr>
          <w:rFonts w:ascii="Arial" w:hAnsi="Arial"/>
          <w:sz w:val="20"/>
          <w:szCs w:val="20"/>
        </w:rPr>
        <w:t xml:space="preserve">Although the total stock of office space was slightly higher, the </w:t>
      </w:r>
      <w:r>
        <w:rPr>
          <w:rFonts w:ascii="Arial" w:hAnsi="Arial"/>
          <w:sz w:val="20"/>
          <w:szCs w:val="20"/>
          <w:u w:val="single"/>
        </w:rPr>
        <w:t>vacancy rate</w:t>
      </w:r>
      <w:r>
        <w:rPr>
          <w:rFonts w:ascii="Arial" w:hAnsi="Arial"/>
          <w:sz w:val="20"/>
          <w:szCs w:val="20"/>
        </w:rPr>
        <w:t xml:space="preserve"> remained unchanged year on year at 3.8 %. The amount of space standing empty will probably grow a little over the next twelve </w:t>
      </w:r>
      <w:r>
        <w:rPr>
          <w:rFonts w:ascii="Arial" w:hAnsi="Arial"/>
          <w:sz w:val="20"/>
          <w:szCs w:val="20"/>
        </w:rPr>
        <w:lastRenderedPageBreak/>
        <w:t xml:space="preserve">months. </w:t>
      </w:r>
      <w:r w:rsidRPr="004B71A3">
        <w:rPr>
          <w:rFonts w:ascii="Arial" w:hAnsi="Arial"/>
          <w:sz w:val="20"/>
          <w:szCs w:val="20"/>
          <w:u w:val="single"/>
        </w:rPr>
        <w:t>New-build completions</w:t>
      </w:r>
      <w:r>
        <w:rPr>
          <w:rFonts w:ascii="Arial" w:hAnsi="Arial"/>
          <w:sz w:val="20"/>
          <w:szCs w:val="20"/>
        </w:rPr>
        <w:t xml:space="preserve"> in Hamburg are likely to peak in 2023 at 317,000 m². </w:t>
      </w:r>
      <w:proofErr w:type="gramStart"/>
      <w:r>
        <w:rPr>
          <w:rFonts w:ascii="Arial" w:hAnsi="Arial"/>
          <w:sz w:val="20"/>
          <w:szCs w:val="20"/>
        </w:rPr>
        <w:t>75 %</w:t>
      </w:r>
      <w:proofErr w:type="gramEnd"/>
      <w:r>
        <w:rPr>
          <w:rFonts w:ascii="Arial" w:hAnsi="Arial"/>
          <w:sz w:val="20"/>
          <w:szCs w:val="20"/>
        </w:rPr>
        <w:t xml:space="preserve"> of this space has been pre-let, some 78,000 m² </w:t>
      </w:r>
      <w:r w:rsidR="004D390E">
        <w:rPr>
          <w:rFonts w:ascii="Arial" w:hAnsi="Arial"/>
          <w:sz w:val="20"/>
          <w:szCs w:val="20"/>
        </w:rPr>
        <w:t>are</w:t>
      </w:r>
      <w:r>
        <w:rPr>
          <w:rFonts w:ascii="Arial" w:hAnsi="Arial"/>
          <w:sz w:val="20"/>
          <w:szCs w:val="20"/>
        </w:rPr>
        <w:t xml:space="preserve"> being built on speculation.</w:t>
      </w:r>
    </w:p>
    <w:p w14:paraId="4C2649DF" w14:textId="78A52D8B" w:rsidR="00052659" w:rsidRPr="001429D0" w:rsidRDefault="004B71A3" w:rsidP="001429D0">
      <w:pPr>
        <w:pStyle w:val="FliesstextNL"/>
        <w:spacing w:line="360" w:lineRule="auto"/>
        <w:jc w:val="left"/>
        <w:rPr>
          <w:rFonts w:ascii="Arial" w:hAnsi="Arial" w:cs="Arial"/>
          <w:color w:val="FF0000"/>
          <w:sz w:val="20"/>
          <w:szCs w:val="20"/>
        </w:rPr>
      </w:pPr>
      <w:r>
        <w:rPr>
          <w:rFonts w:ascii="Arial" w:hAnsi="Arial" w:cs="Arial"/>
          <w:b/>
          <w:noProof/>
          <w:sz w:val="20"/>
          <w:szCs w:val="20"/>
          <w:lang w:val="de-DE"/>
        </w:rPr>
        <w:drawing>
          <wp:anchor distT="0" distB="0" distL="114300" distR="114300" simplePos="0" relativeHeight="251658240" behindDoc="0" locked="0" layoutInCell="1" allowOverlap="1" wp14:anchorId="63C8A5B3" wp14:editId="1DC405CE">
            <wp:simplePos x="0" y="0"/>
            <wp:positionH relativeFrom="margin">
              <wp:align>right</wp:align>
            </wp:positionH>
            <wp:positionV relativeFrom="paragraph">
              <wp:posOffset>256540</wp:posOffset>
            </wp:positionV>
            <wp:extent cx="2854960" cy="2402205"/>
            <wp:effectExtent l="19050" t="19050" r="21590" b="171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leasing-market-Hamburg-3q2022-take-up.JPG"/>
                    <pic:cNvPicPr/>
                  </pic:nvPicPr>
                  <pic:blipFill>
                    <a:blip r:embed="rId8">
                      <a:extLst>
                        <a:ext uri="{28A0092B-C50C-407E-A947-70E740481C1C}">
                          <a14:useLocalDpi xmlns:a14="http://schemas.microsoft.com/office/drawing/2010/main" val="0"/>
                        </a:ext>
                      </a:extLst>
                    </a:blip>
                    <a:stretch>
                      <a:fillRect/>
                    </a:stretch>
                  </pic:blipFill>
                  <pic:spPr>
                    <a:xfrm>
                      <a:off x="0" y="0"/>
                      <a:ext cx="2854960" cy="240220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533C6" w:rsidRPr="005650DF" w14:paraId="4FF9FD53" w14:textId="77777777" w:rsidTr="001533C6">
        <w:trPr>
          <w:trHeight w:val="416"/>
        </w:trPr>
        <w:tc>
          <w:tcPr>
            <w:tcW w:w="3856" w:type="pct"/>
            <w:shd w:val="clear" w:color="auto" w:fill="000000" w:themeFill="text1"/>
            <w:vAlign w:val="center"/>
          </w:tcPr>
          <w:p w14:paraId="73ECD5FC" w14:textId="161AF0C8" w:rsidR="001533C6" w:rsidRPr="001533C6" w:rsidRDefault="001533C6" w:rsidP="00DF03C8">
            <w:pPr>
              <w:widowControl w:val="0"/>
              <w:spacing w:after="0"/>
              <w:rPr>
                <w:rFonts w:ascii="Arial" w:hAnsi="Arial" w:cs="Arial"/>
                <w:b/>
                <w:color w:val="FFFFFF" w:themeColor="background1"/>
                <w:sz w:val="18"/>
                <w:szCs w:val="16"/>
              </w:rPr>
            </w:pPr>
            <w:r>
              <w:rPr>
                <w:rFonts w:ascii="Arial" w:hAnsi="Arial"/>
                <w:b/>
                <w:color w:val="FFFFFF" w:themeColor="background1"/>
                <w:sz w:val="18"/>
                <w:szCs w:val="20"/>
              </w:rPr>
              <w:t>Office letting market | Hamburg | 2022</w:t>
            </w:r>
          </w:p>
        </w:tc>
        <w:tc>
          <w:tcPr>
            <w:tcW w:w="1144" w:type="pct"/>
            <w:shd w:val="clear" w:color="auto" w:fill="000000" w:themeFill="text1"/>
            <w:vAlign w:val="center"/>
          </w:tcPr>
          <w:p w14:paraId="5FDA2CEA" w14:textId="4ED484F7" w:rsidR="001533C6" w:rsidRPr="001533C6" w:rsidRDefault="004B71A3" w:rsidP="00DF03C8">
            <w:pPr>
              <w:widowControl w:val="0"/>
              <w:spacing w:after="0"/>
              <w:jc w:val="center"/>
              <w:rPr>
                <w:rFonts w:ascii="Arial" w:hAnsi="Arial" w:cs="Arial"/>
                <w:b/>
                <w:color w:val="FFFFFF" w:themeColor="background1"/>
                <w:sz w:val="18"/>
                <w:szCs w:val="16"/>
              </w:rPr>
            </w:pPr>
            <w:r>
              <w:rPr>
                <w:rFonts w:ascii="Arial" w:hAnsi="Arial"/>
                <w:b/>
                <w:color w:val="FFFFFF" w:themeColor="background1"/>
                <w:sz w:val="18"/>
                <w:szCs w:val="16"/>
              </w:rPr>
              <w:t>Q</w:t>
            </w:r>
            <w:r w:rsidR="001533C6">
              <w:rPr>
                <w:rFonts w:ascii="Arial" w:hAnsi="Arial"/>
                <w:b/>
                <w:color w:val="FFFFFF" w:themeColor="background1"/>
                <w:sz w:val="18"/>
                <w:szCs w:val="16"/>
              </w:rPr>
              <w:t>1-3</w:t>
            </w:r>
          </w:p>
        </w:tc>
      </w:tr>
      <w:tr w:rsidR="004526F6" w:rsidRPr="00F952F7" w14:paraId="70B142AA" w14:textId="77777777" w:rsidTr="00DF03C8">
        <w:trPr>
          <w:trHeight w:val="283"/>
        </w:trPr>
        <w:tc>
          <w:tcPr>
            <w:tcW w:w="3856" w:type="pct"/>
            <w:vAlign w:val="center"/>
          </w:tcPr>
          <w:p w14:paraId="44783DB5" w14:textId="77777777" w:rsidR="004526F6" w:rsidRPr="000E7BC7" w:rsidRDefault="004526F6" w:rsidP="004526F6">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144" w:type="pct"/>
            <w:vAlign w:val="center"/>
          </w:tcPr>
          <w:p w14:paraId="53E41973" w14:textId="3E4BA86F" w:rsidR="004526F6" w:rsidRPr="000E7BC7" w:rsidRDefault="004526F6" w:rsidP="004526F6">
            <w:pPr>
              <w:spacing w:after="0"/>
              <w:jc w:val="right"/>
              <w:rPr>
                <w:rFonts w:ascii="Arial" w:hAnsi="Arial" w:cs="Arial"/>
                <w:sz w:val="18"/>
                <w:szCs w:val="16"/>
              </w:rPr>
            </w:pPr>
            <w:r>
              <w:rPr>
                <w:rFonts w:ascii="Arial" w:hAnsi="Arial"/>
                <w:sz w:val="18"/>
                <w:szCs w:val="16"/>
              </w:rPr>
              <w:t>465,000</w:t>
            </w:r>
          </w:p>
        </w:tc>
      </w:tr>
      <w:tr w:rsidR="004526F6" w:rsidRPr="00F952F7" w14:paraId="1DDBF1A6" w14:textId="77777777" w:rsidTr="00DF03C8">
        <w:trPr>
          <w:trHeight w:val="283"/>
        </w:trPr>
        <w:tc>
          <w:tcPr>
            <w:tcW w:w="3856" w:type="pct"/>
            <w:vAlign w:val="center"/>
          </w:tcPr>
          <w:p w14:paraId="5B57778E" w14:textId="77777777" w:rsidR="004526F6" w:rsidRPr="000E7BC7" w:rsidRDefault="004526F6" w:rsidP="004526F6">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5926FE8" w14:textId="6F8C48DA" w:rsidR="004526F6" w:rsidRPr="000E7BC7" w:rsidRDefault="004526F6" w:rsidP="004526F6">
            <w:pPr>
              <w:spacing w:after="0"/>
              <w:jc w:val="right"/>
              <w:rPr>
                <w:rFonts w:ascii="Arial" w:hAnsi="Arial" w:cs="Arial"/>
                <w:sz w:val="18"/>
                <w:szCs w:val="16"/>
              </w:rPr>
            </w:pPr>
            <w:r>
              <w:rPr>
                <w:rFonts w:ascii="Arial" w:hAnsi="Arial"/>
                <w:sz w:val="18"/>
                <w:szCs w:val="16"/>
              </w:rPr>
              <w:t>+29.2</w:t>
            </w:r>
          </w:p>
        </w:tc>
      </w:tr>
      <w:tr w:rsidR="004526F6" w:rsidRPr="00F952F7" w14:paraId="077C5AA1" w14:textId="77777777" w:rsidTr="00DF03C8">
        <w:trPr>
          <w:trHeight w:val="283"/>
        </w:trPr>
        <w:tc>
          <w:tcPr>
            <w:tcW w:w="3856" w:type="pct"/>
            <w:vAlign w:val="center"/>
          </w:tcPr>
          <w:p w14:paraId="19D22308" w14:textId="77777777" w:rsidR="004526F6" w:rsidRPr="000E7BC7" w:rsidRDefault="004526F6" w:rsidP="004526F6">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144" w:type="pct"/>
            <w:vAlign w:val="center"/>
          </w:tcPr>
          <w:p w14:paraId="2D96A673" w14:textId="1F988ADB" w:rsidR="004526F6" w:rsidRPr="000E7BC7" w:rsidRDefault="004526F6" w:rsidP="004526F6">
            <w:pPr>
              <w:spacing w:after="0"/>
              <w:jc w:val="right"/>
              <w:rPr>
                <w:rFonts w:ascii="Arial" w:hAnsi="Arial" w:cs="Arial"/>
                <w:color w:val="000000" w:themeColor="text1"/>
                <w:sz w:val="18"/>
                <w:szCs w:val="16"/>
              </w:rPr>
            </w:pPr>
            <w:r>
              <w:rPr>
                <w:rFonts w:ascii="Arial" w:hAnsi="Arial"/>
                <w:sz w:val="18"/>
                <w:szCs w:val="16"/>
              </w:rPr>
              <w:t>33.50</w:t>
            </w:r>
          </w:p>
        </w:tc>
      </w:tr>
      <w:tr w:rsidR="004526F6" w:rsidRPr="00F952F7" w14:paraId="20E3055B" w14:textId="77777777" w:rsidTr="00DF03C8">
        <w:trPr>
          <w:trHeight w:val="283"/>
        </w:trPr>
        <w:tc>
          <w:tcPr>
            <w:tcW w:w="3856" w:type="pct"/>
            <w:vAlign w:val="center"/>
          </w:tcPr>
          <w:p w14:paraId="48AD8597" w14:textId="77777777" w:rsidR="004526F6" w:rsidRPr="000E7BC7" w:rsidRDefault="004526F6" w:rsidP="004526F6">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3EAC70D" w14:textId="22F5682A" w:rsidR="004526F6" w:rsidRPr="000E7BC7" w:rsidRDefault="004526F6" w:rsidP="004526F6">
            <w:pPr>
              <w:spacing w:after="0"/>
              <w:jc w:val="right"/>
              <w:rPr>
                <w:rFonts w:ascii="Arial" w:hAnsi="Arial" w:cs="Arial"/>
                <w:color w:val="000000" w:themeColor="text1"/>
                <w:sz w:val="18"/>
                <w:szCs w:val="16"/>
              </w:rPr>
            </w:pPr>
            <w:r>
              <w:rPr>
                <w:rFonts w:ascii="Arial" w:hAnsi="Arial"/>
                <w:color w:val="000000" w:themeColor="text1"/>
                <w:sz w:val="18"/>
                <w:szCs w:val="16"/>
              </w:rPr>
              <w:t>+6.3</w:t>
            </w:r>
          </w:p>
        </w:tc>
      </w:tr>
      <w:tr w:rsidR="004526F6" w:rsidRPr="00F952F7" w14:paraId="6F451023" w14:textId="77777777" w:rsidTr="00DF03C8">
        <w:trPr>
          <w:trHeight w:val="283"/>
        </w:trPr>
        <w:tc>
          <w:tcPr>
            <w:tcW w:w="3856" w:type="pct"/>
            <w:vAlign w:val="center"/>
          </w:tcPr>
          <w:p w14:paraId="40514069" w14:textId="77777777" w:rsidR="004526F6" w:rsidRPr="000E7BC7" w:rsidRDefault="004526F6" w:rsidP="004526F6">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144" w:type="pct"/>
            <w:vAlign w:val="center"/>
          </w:tcPr>
          <w:p w14:paraId="0820D982" w14:textId="7B006E8D" w:rsidR="004526F6" w:rsidRPr="000E7BC7" w:rsidRDefault="004526F6" w:rsidP="004526F6">
            <w:pPr>
              <w:spacing w:after="0"/>
              <w:jc w:val="right"/>
              <w:rPr>
                <w:rFonts w:ascii="Arial" w:hAnsi="Arial" w:cs="Arial"/>
                <w:color w:val="000000" w:themeColor="text1"/>
                <w:sz w:val="18"/>
                <w:szCs w:val="16"/>
              </w:rPr>
            </w:pPr>
            <w:r>
              <w:rPr>
                <w:rFonts w:ascii="Arial" w:hAnsi="Arial"/>
                <w:sz w:val="18"/>
                <w:szCs w:val="16"/>
              </w:rPr>
              <w:t>21.00</w:t>
            </w:r>
          </w:p>
        </w:tc>
      </w:tr>
      <w:tr w:rsidR="004526F6" w:rsidRPr="00F952F7" w14:paraId="0E42EFC7" w14:textId="77777777" w:rsidTr="00DF03C8">
        <w:trPr>
          <w:trHeight w:val="283"/>
        </w:trPr>
        <w:tc>
          <w:tcPr>
            <w:tcW w:w="3856" w:type="pct"/>
            <w:vAlign w:val="center"/>
          </w:tcPr>
          <w:p w14:paraId="47890C98" w14:textId="77777777" w:rsidR="004526F6" w:rsidRPr="000E7BC7" w:rsidRDefault="004526F6" w:rsidP="004526F6">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6FB5030D" w14:textId="7EBEB94A" w:rsidR="004526F6" w:rsidRPr="000E7BC7" w:rsidRDefault="004526F6" w:rsidP="004526F6">
            <w:pPr>
              <w:spacing w:after="0"/>
              <w:jc w:val="right"/>
              <w:rPr>
                <w:rFonts w:ascii="Arial" w:hAnsi="Arial" w:cs="Arial"/>
                <w:color w:val="000000" w:themeColor="text1"/>
                <w:sz w:val="18"/>
                <w:szCs w:val="16"/>
              </w:rPr>
            </w:pPr>
            <w:r>
              <w:rPr>
                <w:rFonts w:ascii="Arial" w:hAnsi="Arial"/>
                <w:color w:val="000000" w:themeColor="text1"/>
                <w:sz w:val="18"/>
                <w:szCs w:val="16"/>
              </w:rPr>
              <w:t>+16.0</w:t>
            </w:r>
          </w:p>
        </w:tc>
      </w:tr>
      <w:tr w:rsidR="004526F6" w:rsidRPr="00F952F7" w14:paraId="2518123F" w14:textId="77777777" w:rsidTr="00DF03C8">
        <w:trPr>
          <w:trHeight w:val="283"/>
        </w:trPr>
        <w:tc>
          <w:tcPr>
            <w:tcW w:w="3856" w:type="pct"/>
            <w:vAlign w:val="center"/>
          </w:tcPr>
          <w:p w14:paraId="38F5680E" w14:textId="77777777" w:rsidR="004526F6" w:rsidRPr="000E7BC7" w:rsidRDefault="004526F6" w:rsidP="004526F6">
            <w:pPr>
              <w:widowControl w:val="0"/>
              <w:spacing w:before="60" w:after="60"/>
              <w:rPr>
                <w:rFonts w:ascii="Arial" w:hAnsi="Arial" w:cs="Arial"/>
                <w:sz w:val="18"/>
                <w:szCs w:val="16"/>
              </w:rPr>
            </w:pPr>
            <w:r>
              <w:rPr>
                <w:rFonts w:ascii="Arial" w:hAnsi="Arial"/>
                <w:b/>
                <w:sz w:val="18"/>
                <w:szCs w:val="16"/>
              </w:rPr>
              <w:t>Stock of office space</w:t>
            </w:r>
            <w:r>
              <w:rPr>
                <w:rFonts w:ascii="Arial" w:hAnsi="Arial"/>
                <w:sz w:val="18"/>
                <w:szCs w:val="16"/>
              </w:rPr>
              <w:t xml:space="preserve"> [millions m²]</w:t>
            </w:r>
          </w:p>
        </w:tc>
        <w:tc>
          <w:tcPr>
            <w:tcW w:w="1144" w:type="pct"/>
            <w:vAlign w:val="center"/>
          </w:tcPr>
          <w:p w14:paraId="39A5B4DB" w14:textId="5D8C30D0" w:rsidR="004526F6" w:rsidRPr="000E7BC7" w:rsidRDefault="004526F6" w:rsidP="004526F6">
            <w:pPr>
              <w:spacing w:after="0"/>
              <w:jc w:val="right"/>
              <w:rPr>
                <w:rFonts w:ascii="Arial" w:hAnsi="Arial" w:cs="Arial"/>
                <w:color w:val="000000" w:themeColor="text1"/>
                <w:sz w:val="18"/>
                <w:szCs w:val="16"/>
              </w:rPr>
            </w:pPr>
            <w:r>
              <w:rPr>
                <w:rFonts w:ascii="Arial" w:hAnsi="Arial"/>
                <w:sz w:val="18"/>
                <w:szCs w:val="16"/>
              </w:rPr>
              <w:t>14.1</w:t>
            </w:r>
          </w:p>
        </w:tc>
      </w:tr>
      <w:tr w:rsidR="004526F6" w:rsidRPr="00F952F7" w14:paraId="5213204C" w14:textId="77777777" w:rsidTr="00DF03C8">
        <w:trPr>
          <w:trHeight w:val="283"/>
        </w:trPr>
        <w:tc>
          <w:tcPr>
            <w:tcW w:w="3856" w:type="pct"/>
            <w:vAlign w:val="center"/>
          </w:tcPr>
          <w:p w14:paraId="2780C8D0" w14:textId="77777777" w:rsidR="004526F6" w:rsidRPr="000E7BC7" w:rsidRDefault="004526F6" w:rsidP="004526F6">
            <w:pPr>
              <w:widowControl w:val="0"/>
              <w:spacing w:before="60" w:after="60"/>
              <w:rPr>
                <w:rFonts w:ascii="Arial" w:hAnsi="Arial" w:cs="Arial"/>
                <w:b/>
                <w:sz w:val="18"/>
                <w:szCs w:val="16"/>
              </w:rPr>
            </w:pPr>
            <w:r>
              <w:rPr>
                <w:rFonts w:ascii="Arial" w:hAnsi="Arial"/>
                <w:b/>
                <w:sz w:val="18"/>
                <w:szCs w:val="16"/>
              </w:rPr>
              <w:t>Vacant space</w:t>
            </w:r>
            <w:r>
              <w:rPr>
                <w:rFonts w:ascii="Arial" w:hAnsi="Arial"/>
                <w:sz w:val="18"/>
                <w:szCs w:val="16"/>
              </w:rPr>
              <w:t xml:space="preserve"> incl. sub-let space [m²]</w:t>
            </w:r>
          </w:p>
        </w:tc>
        <w:tc>
          <w:tcPr>
            <w:tcW w:w="1144" w:type="pct"/>
            <w:vAlign w:val="center"/>
          </w:tcPr>
          <w:p w14:paraId="12A4A9CF" w14:textId="469BB39B" w:rsidR="004526F6" w:rsidRPr="000E7BC7" w:rsidRDefault="004526F6" w:rsidP="004526F6">
            <w:pPr>
              <w:spacing w:after="0"/>
              <w:jc w:val="right"/>
              <w:rPr>
                <w:rFonts w:ascii="Arial" w:hAnsi="Arial" w:cs="Arial"/>
                <w:color w:val="000000" w:themeColor="text1"/>
                <w:sz w:val="18"/>
                <w:szCs w:val="16"/>
              </w:rPr>
            </w:pPr>
            <w:r>
              <w:rPr>
                <w:rFonts w:ascii="Arial" w:hAnsi="Arial"/>
                <w:sz w:val="18"/>
                <w:szCs w:val="16"/>
              </w:rPr>
              <w:t>541,900</w:t>
            </w:r>
          </w:p>
        </w:tc>
      </w:tr>
      <w:tr w:rsidR="004526F6" w:rsidRPr="00F952F7" w14:paraId="64C1EF13" w14:textId="77777777" w:rsidTr="00DF03C8">
        <w:trPr>
          <w:trHeight w:val="283"/>
        </w:trPr>
        <w:tc>
          <w:tcPr>
            <w:tcW w:w="3856" w:type="pct"/>
            <w:vAlign w:val="center"/>
          </w:tcPr>
          <w:p w14:paraId="42CAE2FE" w14:textId="77777777" w:rsidR="004526F6" w:rsidRPr="000E7BC7" w:rsidRDefault="004526F6" w:rsidP="004526F6">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7C730CE0" w14:textId="574A3C2A" w:rsidR="004526F6" w:rsidRPr="000E7BC7" w:rsidRDefault="008A6585" w:rsidP="004526F6">
            <w:pPr>
              <w:spacing w:after="0"/>
              <w:jc w:val="right"/>
              <w:rPr>
                <w:rFonts w:ascii="Arial" w:hAnsi="Arial" w:cs="Arial"/>
                <w:color w:val="000000" w:themeColor="text1"/>
                <w:sz w:val="18"/>
                <w:szCs w:val="16"/>
              </w:rPr>
            </w:pPr>
            <w:r>
              <w:rPr>
                <w:rFonts w:ascii="Arial" w:hAnsi="Arial"/>
                <w:color w:val="000000" w:themeColor="text1"/>
                <w:sz w:val="18"/>
                <w:szCs w:val="16"/>
              </w:rPr>
              <w:t>+1.0</w:t>
            </w:r>
          </w:p>
        </w:tc>
      </w:tr>
      <w:tr w:rsidR="004526F6" w:rsidRPr="00F952F7" w14:paraId="40CB2D96" w14:textId="77777777" w:rsidTr="00DF03C8">
        <w:trPr>
          <w:trHeight w:val="283"/>
        </w:trPr>
        <w:tc>
          <w:tcPr>
            <w:tcW w:w="3856" w:type="pct"/>
            <w:vAlign w:val="center"/>
          </w:tcPr>
          <w:p w14:paraId="7EFD95EC" w14:textId="77777777" w:rsidR="004526F6" w:rsidRPr="000E7BC7" w:rsidRDefault="004526F6" w:rsidP="004526F6">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incl. sub-let space [%]</w:t>
            </w:r>
          </w:p>
        </w:tc>
        <w:tc>
          <w:tcPr>
            <w:tcW w:w="1144" w:type="pct"/>
            <w:vAlign w:val="center"/>
          </w:tcPr>
          <w:p w14:paraId="616D7FC2" w14:textId="52848EE1" w:rsidR="004526F6" w:rsidRPr="000E7BC7" w:rsidRDefault="004526F6" w:rsidP="004526F6">
            <w:pPr>
              <w:spacing w:after="0"/>
              <w:jc w:val="right"/>
              <w:rPr>
                <w:rFonts w:ascii="Arial" w:hAnsi="Arial" w:cs="Arial"/>
                <w:color w:val="000000" w:themeColor="text1"/>
                <w:sz w:val="18"/>
                <w:szCs w:val="16"/>
              </w:rPr>
            </w:pPr>
            <w:r>
              <w:rPr>
                <w:rFonts w:ascii="Arial" w:hAnsi="Arial"/>
                <w:color w:val="000000" w:themeColor="text1"/>
                <w:sz w:val="18"/>
                <w:szCs w:val="16"/>
              </w:rPr>
              <w:t>3.8</w:t>
            </w:r>
          </w:p>
        </w:tc>
      </w:tr>
      <w:tr w:rsidR="004526F6" w:rsidRPr="00F952F7" w14:paraId="5E4D6219" w14:textId="77777777" w:rsidTr="00DF03C8">
        <w:trPr>
          <w:trHeight w:val="283"/>
        </w:trPr>
        <w:tc>
          <w:tcPr>
            <w:tcW w:w="3856" w:type="pct"/>
            <w:tcBorders>
              <w:bottom w:val="single" w:sz="4" w:space="0" w:color="auto"/>
            </w:tcBorders>
            <w:vAlign w:val="center"/>
          </w:tcPr>
          <w:p w14:paraId="4DA0B3D9" w14:textId="77777777" w:rsidR="004526F6" w:rsidRPr="000E7BC7" w:rsidRDefault="004526F6" w:rsidP="004526F6">
            <w:pPr>
              <w:widowControl w:val="0"/>
              <w:spacing w:before="60" w:after="60"/>
              <w:rPr>
                <w:rFonts w:ascii="Arial" w:hAnsi="Arial" w:cs="Arial"/>
                <w:b/>
                <w:sz w:val="18"/>
                <w:szCs w:val="16"/>
              </w:rPr>
            </w:pPr>
            <w:r>
              <w:rPr>
                <w:rFonts w:ascii="Arial" w:hAnsi="Arial"/>
                <w:b/>
                <w:bCs/>
                <w:sz w:val="18"/>
                <w:szCs w:val="16"/>
              </w:rPr>
              <w:t>Completions 2022+2023</w:t>
            </w:r>
            <w:r>
              <w:rPr>
                <w:rFonts w:ascii="Arial" w:hAnsi="Arial"/>
                <w:bCs/>
                <w:sz w:val="18"/>
                <w:szCs w:val="16"/>
              </w:rPr>
              <w:t xml:space="preserve"> </w:t>
            </w:r>
            <w:r>
              <w:rPr>
                <w:rFonts w:ascii="Arial" w:hAnsi="Arial"/>
                <w:sz w:val="18"/>
                <w:szCs w:val="16"/>
              </w:rPr>
              <w:t>[m²]</w:t>
            </w:r>
          </w:p>
        </w:tc>
        <w:tc>
          <w:tcPr>
            <w:tcW w:w="1144" w:type="pct"/>
            <w:tcBorders>
              <w:bottom w:val="single" w:sz="4" w:space="0" w:color="auto"/>
            </w:tcBorders>
            <w:vAlign w:val="center"/>
          </w:tcPr>
          <w:p w14:paraId="29207C4D" w14:textId="013D3F3F" w:rsidR="004526F6" w:rsidRPr="000E7BC7" w:rsidRDefault="004526F6" w:rsidP="004526F6">
            <w:pPr>
              <w:spacing w:after="0"/>
              <w:jc w:val="right"/>
              <w:rPr>
                <w:rFonts w:ascii="Arial" w:hAnsi="Arial" w:cs="Arial"/>
                <w:color w:val="000000" w:themeColor="text1"/>
                <w:sz w:val="18"/>
                <w:szCs w:val="16"/>
              </w:rPr>
            </w:pPr>
            <w:r>
              <w:rPr>
                <w:rFonts w:ascii="Arial" w:hAnsi="Arial"/>
                <w:sz w:val="18"/>
                <w:szCs w:val="16"/>
              </w:rPr>
              <w:t>511,000</w:t>
            </w:r>
          </w:p>
        </w:tc>
      </w:tr>
      <w:tr w:rsidR="004526F6" w:rsidRPr="00F952F7" w14:paraId="39ED958F" w14:textId="77777777" w:rsidTr="00DF03C8">
        <w:trPr>
          <w:trHeight w:val="283"/>
        </w:trPr>
        <w:tc>
          <w:tcPr>
            <w:tcW w:w="3856" w:type="pct"/>
            <w:tcBorders>
              <w:bottom w:val="single" w:sz="4" w:space="0" w:color="auto"/>
            </w:tcBorders>
            <w:vAlign w:val="center"/>
          </w:tcPr>
          <w:p w14:paraId="59B947E6" w14:textId="77777777" w:rsidR="004526F6" w:rsidRPr="000E7BC7" w:rsidRDefault="004526F6" w:rsidP="004526F6">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144" w:type="pct"/>
            <w:tcBorders>
              <w:bottom w:val="single" w:sz="4" w:space="0" w:color="auto"/>
            </w:tcBorders>
            <w:vAlign w:val="center"/>
          </w:tcPr>
          <w:p w14:paraId="34083532" w14:textId="6DB84537" w:rsidR="004526F6" w:rsidRPr="000E7BC7" w:rsidRDefault="004526F6" w:rsidP="004526F6">
            <w:pPr>
              <w:spacing w:after="0"/>
              <w:jc w:val="right"/>
              <w:rPr>
                <w:rFonts w:ascii="Arial" w:hAnsi="Arial" w:cs="Arial"/>
                <w:color w:val="000000" w:themeColor="text1"/>
                <w:sz w:val="18"/>
                <w:szCs w:val="16"/>
              </w:rPr>
            </w:pPr>
            <w:r>
              <w:rPr>
                <w:rFonts w:ascii="Arial" w:hAnsi="Arial"/>
                <w:color w:val="000000" w:themeColor="text1"/>
                <w:sz w:val="18"/>
                <w:szCs w:val="16"/>
              </w:rPr>
              <w:t>77</w:t>
            </w:r>
          </w:p>
        </w:tc>
      </w:tr>
    </w:tbl>
    <w:p w14:paraId="2776974B" w14:textId="0690B610" w:rsidR="001533C6" w:rsidRDefault="001533C6" w:rsidP="001533C6">
      <w:pPr>
        <w:spacing w:after="0"/>
        <w:rPr>
          <w:rFonts w:ascii="Arial" w:hAnsi="Arial" w:cs="Arial"/>
          <w:b/>
          <w:sz w:val="20"/>
          <w:szCs w:val="20"/>
        </w:rPr>
      </w:pPr>
    </w:p>
    <w:p w14:paraId="0B96EC8B" w14:textId="77777777" w:rsidR="001533C6" w:rsidRDefault="001533C6" w:rsidP="001533C6">
      <w:pPr>
        <w:spacing w:after="0"/>
        <w:rPr>
          <w:rFonts w:ascii="Arial" w:hAnsi="Arial" w:cs="Arial"/>
          <w:b/>
          <w:sz w:val="20"/>
          <w:szCs w:val="20"/>
        </w:rPr>
      </w:pPr>
    </w:p>
    <w:p w14:paraId="1953F707" w14:textId="77777777" w:rsidR="006C77F1" w:rsidRDefault="006C77F1" w:rsidP="001533C6">
      <w:pPr>
        <w:spacing w:after="0"/>
        <w:rPr>
          <w:rFonts w:ascii="Arial" w:hAnsi="Arial" w:cs="Arial"/>
          <w:b/>
          <w:sz w:val="20"/>
          <w:szCs w:val="20"/>
        </w:rPr>
      </w:pPr>
    </w:p>
    <w:p w14:paraId="034C0035" w14:textId="77777777" w:rsidR="00123E01" w:rsidRDefault="00123E01" w:rsidP="001533C6">
      <w:pPr>
        <w:spacing w:after="0"/>
        <w:rPr>
          <w:rFonts w:ascii="Arial" w:hAnsi="Arial" w:cs="Arial"/>
          <w:b/>
          <w:sz w:val="20"/>
          <w:szCs w:val="20"/>
        </w:rPr>
      </w:pPr>
    </w:p>
    <w:p w14:paraId="45388B5A" w14:textId="6ABBBA8A" w:rsidR="001533C6" w:rsidRDefault="001533C6" w:rsidP="001533C6">
      <w:pPr>
        <w:spacing w:after="0"/>
        <w:rPr>
          <w:rFonts w:ascii="Arial" w:eastAsia="Arial" w:hAnsi="Arial" w:cs="Arial"/>
          <w:b/>
          <w:color w:val="000000" w:themeColor="text1"/>
          <w:sz w:val="20"/>
          <w:szCs w:val="20"/>
        </w:rPr>
      </w:pPr>
      <w:r>
        <w:rPr>
          <w:rFonts w:ascii="Arial" w:hAnsi="Arial"/>
          <w:b/>
          <w:sz w:val="20"/>
          <w:szCs w:val="20"/>
        </w:rPr>
        <w:t xml:space="preserve">Top selected known agreements | offices in Hamburg | </w:t>
      </w:r>
      <w:r w:rsidR="004B71A3">
        <w:rPr>
          <w:rFonts w:ascii="Arial" w:hAnsi="Arial"/>
          <w:b/>
          <w:sz w:val="20"/>
          <w:szCs w:val="20"/>
        </w:rPr>
        <w:t>Q1-3</w:t>
      </w:r>
      <w:r>
        <w:rPr>
          <w:rFonts w:ascii="Arial" w:hAnsi="Arial"/>
          <w:b/>
          <w:sz w:val="20"/>
          <w:szCs w:val="20"/>
        </w:rPr>
        <w:t xml:space="preserve"> 2022</w:t>
      </w:r>
    </w:p>
    <w:tbl>
      <w:tblPr>
        <w:tblStyle w:val="Tabellenraster"/>
        <w:tblpPr w:leftFromText="141" w:rightFromText="141" w:vertAnchor="text" w:horzAnchor="margin" w:tblpXSpec="center" w:tblpY="218"/>
        <w:tblW w:w="9634" w:type="dxa"/>
        <w:jc w:val="center"/>
        <w:tblLook w:val="04A0" w:firstRow="1" w:lastRow="0" w:firstColumn="1" w:lastColumn="0" w:noHBand="0" w:noVBand="1"/>
      </w:tblPr>
      <w:tblGrid>
        <w:gridCol w:w="2263"/>
        <w:gridCol w:w="2410"/>
        <w:gridCol w:w="2693"/>
        <w:gridCol w:w="1276"/>
        <w:gridCol w:w="992"/>
      </w:tblGrid>
      <w:tr w:rsidR="006C77F1" w:rsidRPr="0017364E" w14:paraId="60919A6D" w14:textId="77777777" w:rsidTr="004B71A3">
        <w:trPr>
          <w:trHeight w:val="567"/>
          <w:jc w:val="center"/>
        </w:trPr>
        <w:tc>
          <w:tcPr>
            <w:tcW w:w="2263" w:type="dxa"/>
            <w:shd w:val="clear" w:color="auto" w:fill="000000" w:themeFill="text1"/>
            <w:vAlign w:val="center"/>
          </w:tcPr>
          <w:p w14:paraId="2546E44C"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Tenant/owner-occupier</w:t>
            </w:r>
          </w:p>
          <w:p w14:paraId="2BB100F7"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410" w:type="dxa"/>
            <w:shd w:val="clear" w:color="auto" w:fill="000000" w:themeFill="text1"/>
            <w:vAlign w:val="center"/>
          </w:tcPr>
          <w:p w14:paraId="407ED6E7"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Property/project</w:t>
            </w:r>
          </w:p>
          <w:p w14:paraId="5D072738"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693" w:type="dxa"/>
            <w:shd w:val="clear" w:color="auto" w:fill="000000" w:themeFill="text1"/>
            <w:vAlign w:val="center"/>
          </w:tcPr>
          <w:p w14:paraId="76787E3C"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Street no.</w:t>
            </w:r>
          </w:p>
          <w:p w14:paraId="078FBD69"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1276" w:type="dxa"/>
            <w:shd w:val="clear" w:color="auto" w:fill="000000" w:themeFill="text1"/>
            <w:vAlign w:val="center"/>
          </w:tcPr>
          <w:p w14:paraId="30621121"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Sub-market</w:t>
            </w:r>
          </w:p>
          <w:p w14:paraId="3D37EA5E"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992" w:type="dxa"/>
            <w:shd w:val="clear" w:color="auto" w:fill="000000" w:themeFill="text1"/>
            <w:vAlign w:val="center"/>
          </w:tcPr>
          <w:p w14:paraId="2526E7A6"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Rental area</w:t>
            </w:r>
            <w:r>
              <w:rPr>
                <w:rFonts w:ascii="Arial" w:hAnsi="Arial"/>
                <w:b/>
                <w:color w:val="FFFFFF" w:themeColor="background1"/>
                <w:sz w:val="18"/>
                <w:szCs w:val="16"/>
              </w:rPr>
              <w:br/>
            </w:r>
            <w:r>
              <w:rPr>
                <w:rFonts w:ascii="Arial" w:hAnsi="Arial"/>
                <w:color w:val="FFFFFF" w:themeColor="background1"/>
                <w:sz w:val="18"/>
                <w:szCs w:val="16"/>
              </w:rPr>
              <w:t>[ca. m²]</w:t>
            </w:r>
          </w:p>
        </w:tc>
      </w:tr>
      <w:tr w:rsidR="00CD4A02" w:rsidRPr="0017364E" w14:paraId="4F113D36" w14:textId="77777777" w:rsidTr="004B71A3">
        <w:trPr>
          <w:trHeight w:val="567"/>
          <w:jc w:val="center"/>
        </w:trPr>
        <w:tc>
          <w:tcPr>
            <w:tcW w:w="2263" w:type="dxa"/>
            <w:shd w:val="clear" w:color="auto" w:fill="D9D9D9" w:themeFill="background1" w:themeFillShade="D9"/>
            <w:vAlign w:val="center"/>
          </w:tcPr>
          <w:p w14:paraId="2E489964" w14:textId="5889DEFA" w:rsidR="00CD4A02" w:rsidRDefault="00CD4A02" w:rsidP="00045697">
            <w:pPr>
              <w:spacing w:before="60" w:after="60"/>
              <w:rPr>
                <w:rFonts w:ascii="Arial" w:hAnsi="Arial" w:cs="Arial"/>
                <w:sz w:val="20"/>
                <w:szCs w:val="20"/>
              </w:rPr>
            </w:pPr>
            <w:proofErr w:type="spellStart"/>
            <w:r>
              <w:rPr>
                <w:rFonts w:ascii="Arial" w:hAnsi="Arial"/>
                <w:sz w:val="20"/>
                <w:szCs w:val="20"/>
              </w:rPr>
              <w:t>Dataport</w:t>
            </w:r>
            <w:proofErr w:type="spellEnd"/>
          </w:p>
        </w:tc>
        <w:tc>
          <w:tcPr>
            <w:tcW w:w="2410" w:type="dxa"/>
            <w:shd w:val="clear" w:color="auto" w:fill="D9D9D9" w:themeFill="background1" w:themeFillShade="D9"/>
            <w:vAlign w:val="center"/>
          </w:tcPr>
          <w:p w14:paraId="323154EA" w14:textId="68B3780D" w:rsidR="00CD4A02" w:rsidRDefault="00CD4A02" w:rsidP="00045697">
            <w:pPr>
              <w:spacing w:after="0"/>
              <w:rPr>
                <w:rFonts w:ascii="Arial" w:hAnsi="Arial" w:cs="Arial"/>
                <w:color w:val="000000"/>
                <w:sz w:val="20"/>
                <w:szCs w:val="20"/>
              </w:rPr>
            </w:pPr>
            <w:r>
              <w:rPr>
                <w:rFonts w:ascii="Arial" w:hAnsi="Arial"/>
                <w:color w:val="000000"/>
                <w:sz w:val="20"/>
                <w:szCs w:val="20"/>
              </w:rPr>
              <w:t xml:space="preserve">“Hanse </w:t>
            </w:r>
            <w:proofErr w:type="spellStart"/>
            <w:r>
              <w:rPr>
                <w:rFonts w:ascii="Arial" w:hAnsi="Arial"/>
                <w:color w:val="000000"/>
                <w:sz w:val="20"/>
                <w:szCs w:val="20"/>
              </w:rPr>
              <w:t>Center</w:t>
            </w:r>
            <w:proofErr w:type="spellEnd"/>
            <w:r>
              <w:rPr>
                <w:rFonts w:ascii="Arial" w:hAnsi="Arial"/>
                <w:color w:val="000000"/>
                <w:sz w:val="20"/>
                <w:szCs w:val="20"/>
              </w:rPr>
              <w:t>”</w:t>
            </w:r>
          </w:p>
        </w:tc>
        <w:tc>
          <w:tcPr>
            <w:tcW w:w="2693" w:type="dxa"/>
            <w:shd w:val="clear" w:color="auto" w:fill="D9D9D9" w:themeFill="background1" w:themeFillShade="D9"/>
            <w:vAlign w:val="center"/>
          </w:tcPr>
          <w:p w14:paraId="299368B4" w14:textId="2B23C795" w:rsidR="00CD4A02" w:rsidRPr="004D3D75" w:rsidRDefault="00CD4A02" w:rsidP="0092297D">
            <w:pPr>
              <w:spacing w:after="0"/>
              <w:rPr>
                <w:rFonts w:ascii="Arial" w:hAnsi="Arial" w:cs="Arial"/>
                <w:color w:val="000000"/>
                <w:sz w:val="16"/>
                <w:szCs w:val="16"/>
              </w:rPr>
            </w:pPr>
            <w:proofErr w:type="spellStart"/>
            <w:r>
              <w:rPr>
                <w:rFonts w:ascii="Arial" w:hAnsi="Arial"/>
                <w:sz w:val="16"/>
                <w:szCs w:val="16"/>
              </w:rPr>
              <w:t>Wikingerweg</w:t>
            </w:r>
            <w:proofErr w:type="spellEnd"/>
            <w:r>
              <w:rPr>
                <w:rFonts w:ascii="Arial" w:hAnsi="Arial"/>
                <w:sz w:val="16"/>
                <w:szCs w:val="16"/>
              </w:rPr>
              <w:t xml:space="preserve"> 1, </w:t>
            </w:r>
            <w:proofErr w:type="spellStart"/>
            <w:r>
              <w:rPr>
                <w:rFonts w:ascii="Arial" w:hAnsi="Arial"/>
                <w:sz w:val="16"/>
                <w:szCs w:val="16"/>
              </w:rPr>
              <w:t>Normannenweg</w:t>
            </w:r>
            <w:proofErr w:type="spellEnd"/>
            <w:r>
              <w:rPr>
                <w:rFonts w:ascii="Arial" w:hAnsi="Arial"/>
                <w:sz w:val="16"/>
                <w:szCs w:val="16"/>
              </w:rPr>
              <w:t xml:space="preserve"> 25, 27, 29, </w:t>
            </w:r>
            <w:proofErr w:type="spellStart"/>
            <w:r>
              <w:rPr>
                <w:rFonts w:ascii="Arial" w:hAnsi="Arial"/>
                <w:sz w:val="16"/>
                <w:szCs w:val="16"/>
              </w:rPr>
              <w:t>Eiffestrasse</w:t>
            </w:r>
            <w:proofErr w:type="spellEnd"/>
            <w:r>
              <w:rPr>
                <w:rFonts w:ascii="Arial" w:hAnsi="Arial"/>
                <w:sz w:val="16"/>
                <w:szCs w:val="16"/>
              </w:rPr>
              <w:t xml:space="preserve"> 26, 28, 30</w:t>
            </w:r>
          </w:p>
        </w:tc>
        <w:tc>
          <w:tcPr>
            <w:tcW w:w="1276" w:type="dxa"/>
            <w:shd w:val="clear" w:color="auto" w:fill="D9D9D9" w:themeFill="background1" w:themeFillShade="D9"/>
            <w:vAlign w:val="center"/>
          </w:tcPr>
          <w:p w14:paraId="1724971D" w14:textId="5255136A" w:rsidR="00CD4A02" w:rsidRDefault="00CD4A02" w:rsidP="00045697">
            <w:pPr>
              <w:spacing w:after="0"/>
              <w:rPr>
                <w:rFonts w:ascii="Arial" w:hAnsi="Arial" w:cs="Arial"/>
                <w:color w:val="000000"/>
                <w:sz w:val="20"/>
                <w:szCs w:val="20"/>
              </w:rPr>
            </w:pPr>
            <w:r>
              <w:rPr>
                <w:rFonts w:ascii="Arial" w:hAnsi="Arial"/>
                <w:color w:val="000000"/>
                <w:sz w:val="20"/>
                <w:szCs w:val="20"/>
              </w:rPr>
              <w:t>City South</w:t>
            </w:r>
          </w:p>
        </w:tc>
        <w:tc>
          <w:tcPr>
            <w:tcW w:w="992" w:type="dxa"/>
            <w:shd w:val="clear" w:color="auto" w:fill="D9D9D9" w:themeFill="background1" w:themeFillShade="D9"/>
            <w:vAlign w:val="center"/>
          </w:tcPr>
          <w:p w14:paraId="71C5DF37" w14:textId="55F2EA5A" w:rsidR="00CD4A02" w:rsidRDefault="00CD4A02" w:rsidP="008A6585">
            <w:pPr>
              <w:spacing w:after="0"/>
              <w:jc w:val="right"/>
              <w:rPr>
                <w:rFonts w:ascii="Arial" w:hAnsi="Arial" w:cs="Arial"/>
                <w:color w:val="000000"/>
                <w:sz w:val="20"/>
                <w:szCs w:val="20"/>
              </w:rPr>
            </w:pPr>
            <w:r>
              <w:rPr>
                <w:rFonts w:ascii="Arial" w:hAnsi="Arial"/>
                <w:color w:val="000000"/>
                <w:sz w:val="20"/>
                <w:szCs w:val="20"/>
              </w:rPr>
              <w:t>40,000</w:t>
            </w:r>
          </w:p>
        </w:tc>
      </w:tr>
      <w:tr w:rsidR="006C77F1" w:rsidRPr="0017364E" w14:paraId="77DBE2C5" w14:textId="77777777" w:rsidTr="004B71A3">
        <w:trPr>
          <w:trHeight w:val="567"/>
          <w:jc w:val="center"/>
        </w:trPr>
        <w:tc>
          <w:tcPr>
            <w:tcW w:w="2263" w:type="dxa"/>
            <w:shd w:val="clear" w:color="auto" w:fill="auto"/>
            <w:vAlign w:val="center"/>
          </w:tcPr>
          <w:p w14:paraId="4CDE409B" w14:textId="764BF4B7" w:rsidR="00276FB2" w:rsidRPr="006C77F1" w:rsidRDefault="00A14078" w:rsidP="00045697">
            <w:pPr>
              <w:spacing w:before="60" w:after="60"/>
              <w:rPr>
                <w:rFonts w:ascii="Arial" w:hAnsi="Arial" w:cs="Arial"/>
                <w:sz w:val="20"/>
                <w:szCs w:val="20"/>
              </w:rPr>
            </w:pPr>
            <w:r>
              <w:rPr>
                <w:rFonts w:ascii="Arial" w:hAnsi="Arial"/>
                <w:sz w:val="20"/>
                <w:szCs w:val="20"/>
              </w:rPr>
              <w:t xml:space="preserve">Hamburger </w:t>
            </w:r>
            <w:proofErr w:type="spellStart"/>
            <w:r>
              <w:rPr>
                <w:rFonts w:ascii="Arial" w:hAnsi="Arial"/>
                <w:sz w:val="20"/>
                <w:szCs w:val="20"/>
              </w:rPr>
              <w:t>Sparkasse</w:t>
            </w:r>
            <w:proofErr w:type="spellEnd"/>
          </w:p>
        </w:tc>
        <w:tc>
          <w:tcPr>
            <w:tcW w:w="2410" w:type="dxa"/>
            <w:shd w:val="clear" w:color="auto" w:fill="auto"/>
            <w:vAlign w:val="center"/>
          </w:tcPr>
          <w:p w14:paraId="05616190" w14:textId="2B5C2FF8" w:rsidR="00276FB2" w:rsidRPr="006C77F1" w:rsidRDefault="00A14078" w:rsidP="00045697">
            <w:pPr>
              <w:spacing w:after="0"/>
              <w:rPr>
                <w:rFonts w:ascii="Arial" w:hAnsi="Arial" w:cs="Arial"/>
                <w:color w:val="000000"/>
                <w:sz w:val="20"/>
                <w:szCs w:val="20"/>
              </w:rPr>
            </w:pPr>
            <w:r>
              <w:rPr>
                <w:rFonts w:ascii="Arial" w:hAnsi="Arial"/>
                <w:color w:val="000000"/>
                <w:sz w:val="20"/>
                <w:szCs w:val="20"/>
              </w:rPr>
              <w:t>“</w:t>
            </w:r>
            <w:proofErr w:type="spellStart"/>
            <w:r>
              <w:rPr>
                <w:rFonts w:ascii="Arial" w:hAnsi="Arial"/>
                <w:color w:val="000000"/>
                <w:sz w:val="20"/>
                <w:szCs w:val="20"/>
              </w:rPr>
              <w:t>Deutschlandhaus</w:t>
            </w:r>
            <w:proofErr w:type="spellEnd"/>
            <w:r>
              <w:rPr>
                <w:rFonts w:ascii="Arial" w:hAnsi="Arial"/>
                <w:color w:val="000000"/>
                <w:sz w:val="20"/>
                <w:szCs w:val="20"/>
              </w:rPr>
              <w:t>”</w:t>
            </w:r>
          </w:p>
        </w:tc>
        <w:tc>
          <w:tcPr>
            <w:tcW w:w="2693" w:type="dxa"/>
            <w:shd w:val="clear" w:color="auto" w:fill="auto"/>
            <w:vAlign w:val="center"/>
          </w:tcPr>
          <w:p w14:paraId="03E89055" w14:textId="256D4582" w:rsidR="00276FB2" w:rsidRPr="006C77F1" w:rsidRDefault="00A14078" w:rsidP="00045697">
            <w:pPr>
              <w:spacing w:after="0"/>
              <w:rPr>
                <w:rFonts w:ascii="Arial" w:hAnsi="Arial" w:cs="Arial"/>
                <w:color w:val="000000"/>
                <w:sz w:val="20"/>
                <w:szCs w:val="20"/>
              </w:rPr>
            </w:pPr>
            <w:proofErr w:type="spellStart"/>
            <w:r>
              <w:rPr>
                <w:rFonts w:ascii="Arial" w:hAnsi="Arial"/>
                <w:color w:val="000000"/>
                <w:sz w:val="20"/>
                <w:szCs w:val="20"/>
              </w:rPr>
              <w:t>Dammtorstrasse</w:t>
            </w:r>
            <w:proofErr w:type="spellEnd"/>
            <w:r>
              <w:rPr>
                <w:rFonts w:ascii="Arial" w:hAnsi="Arial"/>
                <w:color w:val="000000"/>
                <w:sz w:val="20"/>
                <w:szCs w:val="20"/>
              </w:rPr>
              <w:t xml:space="preserve"> 1</w:t>
            </w:r>
          </w:p>
        </w:tc>
        <w:tc>
          <w:tcPr>
            <w:tcW w:w="1276" w:type="dxa"/>
            <w:shd w:val="clear" w:color="auto" w:fill="auto"/>
            <w:vAlign w:val="center"/>
          </w:tcPr>
          <w:p w14:paraId="0BF5B724" w14:textId="7582D84E" w:rsidR="00276FB2" w:rsidRPr="006C77F1" w:rsidRDefault="00A14078" w:rsidP="00045697">
            <w:pPr>
              <w:spacing w:after="0"/>
              <w:rPr>
                <w:rFonts w:ascii="Arial" w:hAnsi="Arial" w:cs="Arial"/>
                <w:color w:val="000000"/>
                <w:sz w:val="20"/>
                <w:szCs w:val="20"/>
              </w:rPr>
            </w:pPr>
            <w:r>
              <w:rPr>
                <w:rFonts w:ascii="Arial" w:hAnsi="Arial"/>
                <w:color w:val="000000"/>
                <w:sz w:val="20"/>
                <w:szCs w:val="20"/>
              </w:rPr>
              <w:t>City</w:t>
            </w:r>
          </w:p>
        </w:tc>
        <w:tc>
          <w:tcPr>
            <w:tcW w:w="992" w:type="dxa"/>
            <w:shd w:val="clear" w:color="auto" w:fill="auto"/>
            <w:vAlign w:val="center"/>
          </w:tcPr>
          <w:p w14:paraId="6C7FA4A3" w14:textId="68A5C8C5" w:rsidR="00276FB2" w:rsidRPr="006C77F1" w:rsidRDefault="00A14078" w:rsidP="004D3D75">
            <w:pPr>
              <w:spacing w:after="0"/>
              <w:jc w:val="right"/>
              <w:rPr>
                <w:rFonts w:ascii="Arial" w:hAnsi="Arial" w:cs="Arial"/>
                <w:color w:val="000000"/>
                <w:sz w:val="20"/>
                <w:szCs w:val="20"/>
              </w:rPr>
            </w:pPr>
            <w:r>
              <w:rPr>
                <w:rFonts w:ascii="Arial" w:hAnsi="Arial"/>
                <w:color w:val="000000"/>
                <w:sz w:val="20"/>
                <w:szCs w:val="20"/>
              </w:rPr>
              <w:t xml:space="preserve">30,800 </w:t>
            </w:r>
          </w:p>
        </w:tc>
      </w:tr>
      <w:tr w:rsidR="00A14078" w:rsidRPr="006E2677" w14:paraId="155379B5" w14:textId="77777777" w:rsidTr="004B71A3">
        <w:trPr>
          <w:trHeight w:val="567"/>
          <w:jc w:val="center"/>
        </w:trPr>
        <w:tc>
          <w:tcPr>
            <w:tcW w:w="2263" w:type="dxa"/>
            <w:shd w:val="clear" w:color="auto" w:fill="auto"/>
            <w:vAlign w:val="center"/>
          </w:tcPr>
          <w:p w14:paraId="49978C96" w14:textId="5EA77D20" w:rsidR="00A14078" w:rsidRPr="006C77F1" w:rsidRDefault="00A14078" w:rsidP="00A14078">
            <w:pPr>
              <w:spacing w:before="60" w:after="60"/>
              <w:rPr>
                <w:rFonts w:ascii="Arial" w:hAnsi="Arial" w:cs="Arial"/>
                <w:color w:val="000000"/>
                <w:sz w:val="20"/>
                <w:szCs w:val="20"/>
              </w:rPr>
            </w:pPr>
            <w:r>
              <w:rPr>
                <w:rFonts w:ascii="Arial" w:hAnsi="Arial"/>
                <w:sz w:val="20"/>
                <w:szCs w:val="20"/>
              </w:rPr>
              <w:t>VTG</w:t>
            </w:r>
          </w:p>
        </w:tc>
        <w:tc>
          <w:tcPr>
            <w:tcW w:w="2410" w:type="dxa"/>
            <w:shd w:val="clear" w:color="auto" w:fill="auto"/>
            <w:vAlign w:val="center"/>
          </w:tcPr>
          <w:p w14:paraId="55F93B6B" w14:textId="142E7DDC" w:rsidR="00A14078" w:rsidRPr="0027363B" w:rsidRDefault="00A14078" w:rsidP="00A14078">
            <w:pPr>
              <w:spacing w:after="0"/>
              <w:rPr>
                <w:rFonts w:ascii="Arial" w:hAnsi="Arial" w:cs="Arial"/>
                <w:color w:val="000000"/>
                <w:sz w:val="20"/>
                <w:szCs w:val="20"/>
              </w:rPr>
            </w:pPr>
            <w:r>
              <w:rPr>
                <w:rFonts w:ascii="Arial" w:hAnsi="Arial"/>
                <w:color w:val="000000"/>
                <w:sz w:val="20"/>
                <w:szCs w:val="20"/>
              </w:rPr>
              <w:t>“Green Innovation Lab”</w:t>
            </w:r>
          </w:p>
        </w:tc>
        <w:tc>
          <w:tcPr>
            <w:tcW w:w="2693" w:type="dxa"/>
            <w:shd w:val="clear" w:color="auto" w:fill="auto"/>
            <w:vAlign w:val="center"/>
          </w:tcPr>
          <w:p w14:paraId="55696B69" w14:textId="59B96D05" w:rsidR="00A14078" w:rsidRPr="00A14078" w:rsidRDefault="00A14078" w:rsidP="00A14078">
            <w:pPr>
              <w:spacing w:before="60" w:after="60"/>
              <w:rPr>
                <w:rFonts w:ascii="Arial" w:hAnsi="Arial" w:cs="Arial"/>
                <w:sz w:val="20"/>
                <w:szCs w:val="20"/>
              </w:rPr>
            </w:pPr>
            <w:proofErr w:type="spellStart"/>
            <w:r>
              <w:rPr>
                <w:rFonts w:ascii="Arial" w:hAnsi="Arial"/>
                <w:color w:val="000000"/>
                <w:sz w:val="20"/>
                <w:szCs w:val="20"/>
              </w:rPr>
              <w:t>Versmannstrasse</w:t>
            </w:r>
            <w:proofErr w:type="spellEnd"/>
            <w:r>
              <w:rPr>
                <w:rFonts w:ascii="Arial" w:hAnsi="Arial"/>
                <w:color w:val="000000"/>
                <w:sz w:val="20"/>
                <w:szCs w:val="20"/>
              </w:rPr>
              <w:t>, “</w:t>
            </w:r>
            <w:proofErr w:type="spellStart"/>
            <w:r>
              <w:rPr>
                <w:rFonts w:ascii="Arial" w:hAnsi="Arial"/>
                <w:color w:val="000000"/>
                <w:sz w:val="20"/>
                <w:szCs w:val="20"/>
              </w:rPr>
              <w:t>Elbbrückenquartier</w:t>
            </w:r>
            <w:proofErr w:type="spellEnd"/>
            <w:r>
              <w:rPr>
                <w:rFonts w:ascii="Arial" w:hAnsi="Arial"/>
                <w:color w:val="000000"/>
                <w:sz w:val="20"/>
                <w:szCs w:val="20"/>
              </w:rPr>
              <w:t>”</w:t>
            </w:r>
          </w:p>
        </w:tc>
        <w:tc>
          <w:tcPr>
            <w:tcW w:w="1276" w:type="dxa"/>
            <w:shd w:val="clear" w:color="auto" w:fill="auto"/>
            <w:vAlign w:val="center"/>
          </w:tcPr>
          <w:p w14:paraId="484A786E" w14:textId="204C1827" w:rsidR="00A14078" w:rsidRPr="006C77F1" w:rsidRDefault="00A14078" w:rsidP="00A14078">
            <w:pPr>
              <w:spacing w:after="0"/>
              <w:rPr>
                <w:rFonts w:ascii="Arial" w:hAnsi="Arial" w:cs="Arial"/>
                <w:color w:val="000000"/>
                <w:sz w:val="20"/>
                <w:szCs w:val="20"/>
              </w:rPr>
            </w:pPr>
            <w:r>
              <w:rPr>
                <w:rFonts w:ascii="Arial" w:hAnsi="Arial"/>
                <w:color w:val="000000"/>
                <w:sz w:val="20"/>
                <w:szCs w:val="20"/>
              </w:rPr>
              <w:t>HafenCity</w:t>
            </w:r>
          </w:p>
        </w:tc>
        <w:tc>
          <w:tcPr>
            <w:tcW w:w="992" w:type="dxa"/>
            <w:shd w:val="clear" w:color="auto" w:fill="auto"/>
            <w:vAlign w:val="center"/>
          </w:tcPr>
          <w:p w14:paraId="6BFAF344" w14:textId="245992D6" w:rsidR="00A14078" w:rsidRPr="006C77F1" w:rsidRDefault="00A14078" w:rsidP="004D3D75">
            <w:pPr>
              <w:spacing w:before="60" w:after="60"/>
              <w:jc w:val="right"/>
              <w:rPr>
                <w:rFonts w:ascii="Arial" w:hAnsi="Arial" w:cs="Arial"/>
                <w:color w:val="000000"/>
                <w:sz w:val="20"/>
                <w:szCs w:val="20"/>
              </w:rPr>
            </w:pPr>
            <w:r>
              <w:rPr>
                <w:rFonts w:ascii="Arial" w:hAnsi="Arial"/>
                <w:color w:val="000000"/>
                <w:sz w:val="20"/>
                <w:szCs w:val="20"/>
              </w:rPr>
              <w:t xml:space="preserve">11,500 </w:t>
            </w:r>
          </w:p>
        </w:tc>
      </w:tr>
      <w:tr w:rsidR="006C77F1" w:rsidRPr="0017364E" w14:paraId="10468498" w14:textId="77777777" w:rsidTr="004B71A3">
        <w:trPr>
          <w:trHeight w:val="567"/>
          <w:jc w:val="center"/>
        </w:trPr>
        <w:tc>
          <w:tcPr>
            <w:tcW w:w="2263" w:type="dxa"/>
            <w:shd w:val="clear" w:color="auto" w:fill="auto"/>
            <w:vAlign w:val="center"/>
          </w:tcPr>
          <w:p w14:paraId="3E70CDED" w14:textId="3641FFEF" w:rsidR="00276FB2" w:rsidRPr="006C77F1" w:rsidRDefault="00423E19" w:rsidP="00423E19">
            <w:pPr>
              <w:spacing w:before="60" w:after="60"/>
              <w:rPr>
                <w:rFonts w:ascii="Arial" w:hAnsi="Arial" w:cs="Arial"/>
                <w:color w:val="000000"/>
                <w:sz w:val="20"/>
                <w:szCs w:val="20"/>
              </w:rPr>
            </w:pPr>
            <w:proofErr w:type="spellStart"/>
            <w:r>
              <w:rPr>
                <w:rFonts w:ascii="Arial" w:hAnsi="Arial"/>
                <w:sz w:val="20"/>
                <w:szCs w:val="20"/>
              </w:rPr>
              <w:t>Kasse.Hamburg</w:t>
            </w:r>
            <w:proofErr w:type="spellEnd"/>
          </w:p>
        </w:tc>
        <w:tc>
          <w:tcPr>
            <w:tcW w:w="2410" w:type="dxa"/>
            <w:shd w:val="clear" w:color="auto" w:fill="auto"/>
            <w:vAlign w:val="center"/>
          </w:tcPr>
          <w:p w14:paraId="0898C748" w14:textId="5E1DCFB6" w:rsidR="00276FB2" w:rsidRPr="006C77F1" w:rsidRDefault="000E3623" w:rsidP="00045697">
            <w:pPr>
              <w:spacing w:after="0"/>
              <w:rPr>
                <w:rFonts w:ascii="Arial" w:hAnsi="Arial" w:cs="Arial"/>
                <w:color w:val="000000"/>
                <w:sz w:val="20"/>
                <w:szCs w:val="20"/>
              </w:rPr>
            </w:pPr>
            <w:r>
              <w:rPr>
                <w:rFonts w:ascii="Arial" w:hAnsi="Arial"/>
                <w:sz w:val="20"/>
                <w:szCs w:val="20"/>
              </w:rPr>
              <w:t>Existing building</w:t>
            </w:r>
          </w:p>
        </w:tc>
        <w:tc>
          <w:tcPr>
            <w:tcW w:w="2693" w:type="dxa"/>
            <w:shd w:val="clear" w:color="auto" w:fill="auto"/>
            <w:vAlign w:val="center"/>
          </w:tcPr>
          <w:p w14:paraId="6821C1E3" w14:textId="11105D4A" w:rsidR="00276FB2" w:rsidRPr="006C77F1" w:rsidRDefault="00423E19" w:rsidP="00045697">
            <w:pPr>
              <w:spacing w:before="60" w:after="60"/>
              <w:rPr>
                <w:rFonts w:ascii="Arial" w:hAnsi="Arial" w:cs="Arial"/>
                <w:sz w:val="20"/>
                <w:szCs w:val="20"/>
              </w:rPr>
            </w:pPr>
            <w:proofErr w:type="spellStart"/>
            <w:r>
              <w:rPr>
                <w:rFonts w:ascii="Arial" w:hAnsi="Arial"/>
                <w:color w:val="000000"/>
                <w:sz w:val="20"/>
                <w:szCs w:val="20"/>
              </w:rPr>
              <w:t>Gasstrasse</w:t>
            </w:r>
            <w:proofErr w:type="spellEnd"/>
            <w:r>
              <w:rPr>
                <w:rFonts w:ascii="Arial" w:hAnsi="Arial"/>
                <w:color w:val="000000"/>
                <w:sz w:val="20"/>
                <w:szCs w:val="20"/>
              </w:rPr>
              <w:t xml:space="preserve"> 27</w:t>
            </w:r>
          </w:p>
        </w:tc>
        <w:tc>
          <w:tcPr>
            <w:tcW w:w="1276" w:type="dxa"/>
            <w:shd w:val="clear" w:color="auto" w:fill="auto"/>
            <w:vAlign w:val="center"/>
          </w:tcPr>
          <w:p w14:paraId="72180C29" w14:textId="3E4033BD" w:rsidR="00276FB2" w:rsidRPr="006C77F1" w:rsidRDefault="00423E19" w:rsidP="0027363B">
            <w:pPr>
              <w:spacing w:after="0"/>
              <w:rPr>
                <w:rFonts w:ascii="Arial" w:hAnsi="Arial" w:cs="Arial"/>
                <w:color w:val="000000"/>
                <w:sz w:val="20"/>
                <w:szCs w:val="20"/>
              </w:rPr>
            </w:pPr>
            <w:proofErr w:type="spellStart"/>
            <w:r>
              <w:rPr>
                <w:rFonts w:ascii="Arial" w:hAnsi="Arial"/>
                <w:color w:val="000000"/>
                <w:sz w:val="20"/>
                <w:szCs w:val="20"/>
              </w:rPr>
              <w:t>Bahrenfeld</w:t>
            </w:r>
            <w:proofErr w:type="spellEnd"/>
          </w:p>
        </w:tc>
        <w:tc>
          <w:tcPr>
            <w:tcW w:w="992" w:type="dxa"/>
            <w:shd w:val="clear" w:color="auto" w:fill="auto"/>
            <w:vAlign w:val="center"/>
          </w:tcPr>
          <w:p w14:paraId="1F9773E9" w14:textId="47E88090" w:rsidR="00276FB2" w:rsidRPr="0027363B" w:rsidRDefault="00423E19" w:rsidP="004D3D75">
            <w:pPr>
              <w:spacing w:before="60" w:after="60"/>
              <w:jc w:val="right"/>
              <w:rPr>
                <w:rFonts w:ascii="Arial" w:hAnsi="Arial" w:cs="Arial"/>
                <w:color w:val="000000"/>
                <w:sz w:val="20"/>
                <w:szCs w:val="20"/>
              </w:rPr>
            </w:pPr>
            <w:r>
              <w:rPr>
                <w:rFonts w:ascii="Arial" w:hAnsi="Arial"/>
                <w:color w:val="000000"/>
                <w:sz w:val="20"/>
                <w:szCs w:val="20"/>
              </w:rPr>
              <w:t>8,900</w:t>
            </w:r>
          </w:p>
        </w:tc>
      </w:tr>
      <w:tr w:rsidR="004D3D75" w:rsidRPr="0017364E" w14:paraId="234EA95A" w14:textId="77777777" w:rsidTr="004B71A3">
        <w:trPr>
          <w:trHeight w:val="567"/>
          <w:jc w:val="center"/>
        </w:trPr>
        <w:tc>
          <w:tcPr>
            <w:tcW w:w="2263" w:type="dxa"/>
            <w:shd w:val="clear" w:color="auto" w:fill="D9D9D9" w:themeFill="background1" w:themeFillShade="D9"/>
            <w:vAlign w:val="center"/>
          </w:tcPr>
          <w:p w14:paraId="7C59719D" w14:textId="0EF32687" w:rsidR="004D3D75" w:rsidRPr="006C77F1" w:rsidRDefault="004D3D75" w:rsidP="004D3D75">
            <w:pPr>
              <w:spacing w:after="0"/>
              <w:rPr>
                <w:rFonts w:ascii="Arial" w:hAnsi="Arial" w:cs="Arial"/>
                <w:color w:val="000000"/>
                <w:sz w:val="20"/>
                <w:szCs w:val="20"/>
              </w:rPr>
            </w:pPr>
            <w:proofErr w:type="spellStart"/>
            <w:r>
              <w:rPr>
                <w:rFonts w:ascii="Arial" w:hAnsi="Arial"/>
                <w:color w:val="000000"/>
                <w:sz w:val="20"/>
                <w:szCs w:val="20"/>
              </w:rPr>
              <w:t>Reemtsma</w:t>
            </w:r>
            <w:proofErr w:type="spellEnd"/>
          </w:p>
        </w:tc>
        <w:tc>
          <w:tcPr>
            <w:tcW w:w="2410" w:type="dxa"/>
            <w:shd w:val="clear" w:color="auto" w:fill="D9D9D9" w:themeFill="background1" w:themeFillShade="D9"/>
            <w:vAlign w:val="center"/>
          </w:tcPr>
          <w:p w14:paraId="0E688F4C" w14:textId="7644CAC0" w:rsidR="004D3D75" w:rsidRPr="006C77F1" w:rsidRDefault="004D3D75" w:rsidP="004D3D75">
            <w:pPr>
              <w:spacing w:after="0"/>
              <w:rPr>
                <w:rFonts w:ascii="Arial" w:hAnsi="Arial" w:cs="Arial"/>
                <w:color w:val="000000"/>
                <w:sz w:val="20"/>
                <w:szCs w:val="20"/>
              </w:rPr>
            </w:pPr>
            <w:r>
              <w:rPr>
                <w:rFonts w:ascii="Arial" w:hAnsi="Arial"/>
                <w:color w:val="000000"/>
                <w:sz w:val="20"/>
                <w:szCs w:val="20"/>
              </w:rPr>
              <w:t>“</w:t>
            </w:r>
            <w:proofErr w:type="spellStart"/>
            <w:r>
              <w:rPr>
                <w:rFonts w:ascii="Arial" w:hAnsi="Arial"/>
                <w:color w:val="000000"/>
                <w:sz w:val="20"/>
                <w:szCs w:val="20"/>
              </w:rPr>
              <w:t>Marzipanfabrik</w:t>
            </w:r>
            <w:proofErr w:type="spellEnd"/>
            <w:r>
              <w:rPr>
                <w:rFonts w:ascii="Arial" w:hAnsi="Arial"/>
                <w:color w:val="000000"/>
                <w:sz w:val="20"/>
                <w:szCs w:val="20"/>
              </w:rPr>
              <w:t>”</w:t>
            </w:r>
          </w:p>
        </w:tc>
        <w:tc>
          <w:tcPr>
            <w:tcW w:w="2693" w:type="dxa"/>
            <w:shd w:val="clear" w:color="auto" w:fill="D9D9D9" w:themeFill="background1" w:themeFillShade="D9"/>
            <w:vAlign w:val="center"/>
          </w:tcPr>
          <w:p w14:paraId="5C4E0271" w14:textId="04315676" w:rsidR="004D3D75" w:rsidRPr="006C77F1" w:rsidRDefault="004D3D75" w:rsidP="004D3D75">
            <w:pPr>
              <w:spacing w:before="60" w:after="60"/>
              <w:rPr>
                <w:rFonts w:ascii="Arial" w:hAnsi="Arial" w:cs="Arial"/>
                <w:sz w:val="20"/>
                <w:szCs w:val="20"/>
              </w:rPr>
            </w:pPr>
            <w:r>
              <w:rPr>
                <w:rFonts w:ascii="Arial" w:hAnsi="Arial"/>
                <w:color w:val="000000"/>
                <w:sz w:val="20"/>
                <w:szCs w:val="20"/>
              </w:rPr>
              <w:t>Jürgen-</w:t>
            </w:r>
            <w:proofErr w:type="spellStart"/>
            <w:r>
              <w:rPr>
                <w:rFonts w:ascii="Arial" w:hAnsi="Arial"/>
                <w:color w:val="000000"/>
                <w:sz w:val="20"/>
                <w:szCs w:val="20"/>
              </w:rPr>
              <w:t>Töpfer</w:t>
            </w:r>
            <w:proofErr w:type="spellEnd"/>
            <w:r>
              <w:rPr>
                <w:rFonts w:ascii="Arial" w:hAnsi="Arial"/>
                <w:color w:val="000000"/>
                <w:sz w:val="20"/>
                <w:szCs w:val="20"/>
              </w:rPr>
              <w:t>-</w:t>
            </w:r>
            <w:proofErr w:type="spellStart"/>
            <w:r>
              <w:rPr>
                <w:rFonts w:ascii="Arial" w:hAnsi="Arial"/>
                <w:color w:val="000000"/>
                <w:sz w:val="20"/>
                <w:szCs w:val="20"/>
              </w:rPr>
              <w:t>Strasse</w:t>
            </w:r>
            <w:proofErr w:type="spellEnd"/>
            <w:r>
              <w:rPr>
                <w:rFonts w:ascii="Arial" w:hAnsi="Arial"/>
                <w:color w:val="000000"/>
                <w:sz w:val="20"/>
                <w:szCs w:val="20"/>
              </w:rPr>
              <w:t xml:space="preserve"> 50</w:t>
            </w:r>
          </w:p>
        </w:tc>
        <w:tc>
          <w:tcPr>
            <w:tcW w:w="1276" w:type="dxa"/>
            <w:shd w:val="clear" w:color="auto" w:fill="D9D9D9" w:themeFill="background1" w:themeFillShade="D9"/>
            <w:vAlign w:val="center"/>
          </w:tcPr>
          <w:p w14:paraId="37C08CDB" w14:textId="5B3D26DE" w:rsidR="004D3D75" w:rsidRPr="006C77F1" w:rsidRDefault="004D3D75" w:rsidP="004D3D75">
            <w:pPr>
              <w:spacing w:before="60" w:after="60"/>
              <w:rPr>
                <w:rFonts w:ascii="Arial" w:hAnsi="Arial" w:cs="Arial"/>
                <w:color w:val="000000"/>
                <w:sz w:val="20"/>
                <w:szCs w:val="20"/>
              </w:rPr>
            </w:pPr>
            <w:r>
              <w:rPr>
                <w:rFonts w:ascii="Arial" w:hAnsi="Arial"/>
                <w:color w:val="000000"/>
                <w:sz w:val="20"/>
                <w:szCs w:val="20"/>
              </w:rPr>
              <w:t>Altona</w:t>
            </w:r>
          </w:p>
        </w:tc>
        <w:tc>
          <w:tcPr>
            <w:tcW w:w="992" w:type="dxa"/>
            <w:shd w:val="clear" w:color="auto" w:fill="D9D9D9" w:themeFill="background1" w:themeFillShade="D9"/>
            <w:vAlign w:val="center"/>
          </w:tcPr>
          <w:p w14:paraId="70E8854C" w14:textId="79BAD729" w:rsidR="004D3D75" w:rsidRPr="006C77F1" w:rsidRDefault="004D3D75" w:rsidP="004D3D75">
            <w:pPr>
              <w:spacing w:before="60" w:after="60"/>
              <w:jc w:val="right"/>
              <w:rPr>
                <w:rFonts w:ascii="Arial" w:hAnsi="Arial" w:cs="Arial"/>
                <w:color w:val="000000"/>
                <w:sz w:val="20"/>
                <w:szCs w:val="20"/>
              </w:rPr>
            </w:pPr>
            <w:r>
              <w:rPr>
                <w:rFonts w:ascii="Arial" w:hAnsi="Arial"/>
                <w:color w:val="000000"/>
                <w:sz w:val="20"/>
                <w:szCs w:val="20"/>
              </w:rPr>
              <w:t>8,100</w:t>
            </w:r>
          </w:p>
        </w:tc>
      </w:tr>
    </w:tbl>
    <w:p w14:paraId="5AFC598B" w14:textId="77777777" w:rsidR="001533C6" w:rsidRDefault="001533C6" w:rsidP="001533C6">
      <w:pPr>
        <w:widowControl w:val="0"/>
        <w:spacing w:after="0"/>
        <w:rPr>
          <w:rFonts w:ascii="Arial" w:hAnsi="Arial" w:cs="Arial"/>
          <w:sz w:val="16"/>
          <w:szCs w:val="16"/>
        </w:rPr>
      </w:pPr>
    </w:p>
    <w:p w14:paraId="1E03FE05" w14:textId="3B93B317" w:rsidR="001533C6" w:rsidRDefault="00CD4CE5" w:rsidP="001533C6">
      <w:pPr>
        <w:spacing w:after="0" w:line="360" w:lineRule="auto"/>
        <w:rPr>
          <w:rFonts w:ascii="Arial" w:eastAsia="Arial" w:hAnsi="Arial" w:cs="Arial"/>
          <w:color w:val="000000" w:themeColor="text1"/>
          <w:sz w:val="20"/>
          <w:szCs w:val="20"/>
        </w:rPr>
      </w:pPr>
      <w:r>
        <w:rPr>
          <w:rFonts w:ascii="Arial" w:hAnsi="Arial"/>
          <w:sz w:val="16"/>
          <w:szCs w:val="16"/>
        </w:rPr>
        <w:t xml:space="preserve">Transactions occurring in the quarter covered by this report </w:t>
      </w:r>
      <w:proofErr w:type="gramStart"/>
      <w:r>
        <w:rPr>
          <w:rFonts w:ascii="Arial" w:hAnsi="Arial"/>
          <w:sz w:val="16"/>
          <w:szCs w:val="16"/>
        </w:rPr>
        <w:t>are highlighted</w:t>
      </w:r>
      <w:proofErr w:type="gramEnd"/>
      <w:r>
        <w:rPr>
          <w:rFonts w:ascii="Arial" w:hAnsi="Arial"/>
          <w:sz w:val="16"/>
          <w:szCs w:val="16"/>
        </w:rPr>
        <w:t>.</w:t>
      </w:r>
    </w:p>
    <w:p w14:paraId="6344DC72" w14:textId="77777777" w:rsidR="00CD4CE5" w:rsidRPr="004B71A3" w:rsidRDefault="00CD4CE5" w:rsidP="001533C6">
      <w:pPr>
        <w:spacing w:after="0" w:line="360" w:lineRule="auto"/>
        <w:rPr>
          <w:rFonts w:ascii="Arial" w:eastAsia="Arial" w:hAnsi="Arial" w:cs="Arial"/>
          <w:color w:val="000000" w:themeColor="text1"/>
          <w:sz w:val="20"/>
          <w:szCs w:val="20"/>
        </w:rPr>
      </w:pPr>
    </w:p>
    <w:p w14:paraId="73144B28" w14:textId="747F619C" w:rsidR="001533C6" w:rsidRPr="004B71A3" w:rsidRDefault="001533C6" w:rsidP="001533C6">
      <w:pPr>
        <w:spacing w:after="0" w:line="360" w:lineRule="auto"/>
        <w:rPr>
          <w:rFonts w:ascii="Arial" w:hAnsi="Arial" w:cs="Arial"/>
          <w:sz w:val="20"/>
          <w:szCs w:val="20"/>
        </w:rPr>
      </w:pPr>
      <w:r w:rsidRPr="004B71A3">
        <w:rPr>
          <w:rFonts w:ascii="Arial" w:hAnsi="Arial"/>
          <w:color w:val="000000" w:themeColor="text1"/>
          <w:sz w:val="20"/>
          <w:szCs w:val="20"/>
        </w:rPr>
        <w:t>The</w:t>
      </w:r>
      <w:hyperlink r:id="rId9" w:history="1">
        <w:r w:rsidRPr="004B71A3">
          <w:rPr>
            <w:rStyle w:val="Hyperlink"/>
            <w:rFonts w:ascii="Arial" w:hAnsi="Arial"/>
            <w:sz w:val="20"/>
            <w:szCs w:val="20"/>
            <w:u w:val="none"/>
          </w:rPr>
          <w:t xml:space="preserve"> </w:t>
        </w:r>
        <w:r w:rsidR="00AD542C">
          <w:rPr>
            <w:rStyle w:val="Hyperlink"/>
            <w:rFonts w:ascii="Arial" w:hAnsi="Arial"/>
            <w:sz w:val="20"/>
            <w:szCs w:val="20"/>
          </w:rPr>
          <w:t>M</w:t>
        </w:r>
        <w:r w:rsidRPr="004B71A3">
          <w:rPr>
            <w:rStyle w:val="Hyperlink"/>
            <w:rFonts w:ascii="Arial" w:hAnsi="Arial"/>
            <w:sz w:val="20"/>
            <w:szCs w:val="20"/>
          </w:rPr>
          <w:t>arket survey office letting Hamburg 2022/Q</w:t>
        </w:r>
        <w:r w:rsidR="004B71A3">
          <w:rPr>
            <w:rStyle w:val="Hyperlink"/>
            <w:rFonts w:ascii="Arial" w:hAnsi="Arial"/>
            <w:sz w:val="20"/>
            <w:szCs w:val="20"/>
          </w:rPr>
          <w:t>1-</w:t>
        </w:r>
        <w:r w:rsidRPr="004B71A3">
          <w:rPr>
            <w:rStyle w:val="Hyperlink"/>
            <w:rFonts w:ascii="Arial" w:hAnsi="Arial"/>
            <w:sz w:val="20"/>
            <w:szCs w:val="20"/>
          </w:rPr>
          <w:t>3</w:t>
        </w:r>
      </w:hyperlink>
      <w:r w:rsidRPr="004B71A3">
        <w:rPr>
          <w:rFonts w:ascii="Arial" w:hAnsi="Arial"/>
          <w:color w:val="000000" w:themeColor="text1"/>
          <w:sz w:val="20"/>
          <w:szCs w:val="20"/>
        </w:rPr>
        <w:t xml:space="preserve"> will soon be available to download from our website.</w:t>
      </w:r>
    </w:p>
    <w:p w14:paraId="351DF6B0" w14:textId="77777777" w:rsidR="00EB2E4B" w:rsidRPr="004B71A3" w:rsidRDefault="00EB2E4B" w:rsidP="00EB2E4B">
      <w:pPr>
        <w:pStyle w:val="Kommentartext"/>
        <w:spacing w:after="0" w:line="360" w:lineRule="auto"/>
        <w:rPr>
          <w:rFonts w:ascii="Arial" w:hAnsi="Arial" w:cs="Arial"/>
        </w:rPr>
      </w:pPr>
    </w:p>
    <w:p w14:paraId="598D9D52" w14:textId="77777777" w:rsidR="00EB2E4B" w:rsidRPr="0090748B" w:rsidRDefault="00EB2E4B" w:rsidP="00EB2E4B">
      <w:pPr>
        <w:spacing w:after="0" w:line="360" w:lineRule="auto"/>
        <w:rPr>
          <w:rFonts w:ascii="Arial" w:hAnsi="Arial" w:cs="Arial"/>
          <w:b/>
          <w:sz w:val="16"/>
          <w:szCs w:val="16"/>
        </w:rPr>
      </w:pPr>
      <w:r>
        <w:rPr>
          <w:rFonts w:ascii="Arial" w:hAnsi="Arial"/>
          <w:b/>
          <w:sz w:val="16"/>
          <w:szCs w:val="16"/>
        </w:rPr>
        <w:t>About Grossmann &amp; Berger</w:t>
      </w:r>
    </w:p>
    <w:p w14:paraId="28D93565" w14:textId="34D1755D" w:rsidR="00EB2E4B" w:rsidRPr="00521AA1" w:rsidRDefault="002B234E" w:rsidP="00EB2E4B">
      <w:pPr>
        <w:spacing w:after="0" w:line="360" w:lineRule="auto"/>
        <w:rPr>
          <w:rFonts w:ascii="Arial" w:hAnsi="Arial" w:cs="Arial"/>
          <w:vanish/>
          <w:sz w:val="16"/>
          <w:szCs w:val="16"/>
          <w:specVanish/>
        </w:rPr>
      </w:pPr>
      <w:hyperlink r:id="rId10" w:history="1">
        <w:r w:rsidR="00EB2E4B">
          <w:rPr>
            <w:rStyle w:val="Hyperlink"/>
            <w:rFonts w:ascii="Arial" w:hAnsi="Arial"/>
            <w:snapToGrid w:val="0"/>
            <w:sz w:val="16"/>
            <w:szCs w:val="16"/>
          </w:rPr>
          <w:t>Grossmann &amp; Berger GmbH</w:t>
        </w:r>
      </w:hyperlink>
      <w:r w:rsidR="00EB2E4B">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w:t>
      </w:r>
      <w:proofErr w:type="gramStart"/>
      <w:r w:rsidR="00EB2E4B">
        <w:rPr>
          <w:rFonts w:ascii="Arial" w:hAnsi="Arial"/>
          <w:snapToGrid w:val="0"/>
          <w:sz w:val="16"/>
          <w:szCs w:val="16"/>
        </w:rPr>
        <w:t xml:space="preserve">the company was augmented by </w:t>
      </w:r>
      <w:hyperlink r:id="rId11" w:history="1">
        <w:r w:rsidR="00EB2E4B">
          <w:rPr>
            <w:rStyle w:val="Hyperlink"/>
            <w:rFonts w:ascii="Arial" w:hAnsi="Arial"/>
            <w:snapToGrid w:val="0"/>
            <w:sz w:val="16"/>
            <w:szCs w:val="16"/>
          </w:rPr>
          <w:t>E &amp; G Real Estate</w:t>
        </w:r>
      </w:hyperlink>
      <w:r w:rsidR="00EB2E4B">
        <w:rPr>
          <w:rFonts w:ascii="Arial" w:hAnsi="Arial"/>
          <w:snapToGrid w:val="0"/>
          <w:sz w:val="16"/>
          <w:szCs w:val="16"/>
        </w:rPr>
        <w:t xml:space="preserve"> and</w:t>
      </w:r>
      <w:r w:rsidR="00EB2E4B">
        <w:rPr>
          <w:rFonts w:ascii="Arial" w:hAnsi="Arial"/>
          <w:snapToGrid w:val="0"/>
          <w:sz w:val="16"/>
          <w:szCs w:val="16"/>
        </w:rPr>
        <w:br/>
      </w:r>
      <w:hyperlink r:id="rId12" w:history="1">
        <w:r w:rsidR="00EB2E4B">
          <w:rPr>
            <w:rStyle w:val="Hyperlink"/>
            <w:rFonts w:ascii="Arial" w:hAnsi="Arial"/>
            <w:snapToGrid w:val="0"/>
            <w:sz w:val="16"/>
            <w:szCs w:val="16"/>
          </w:rPr>
          <w:t xml:space="preserve">E &amp; G Private </w:t>
        </w:r>
        <w:proofErr w:type="spellStart"/>
        <w:r w:rsidR="00EB2E4B">
          <w:rPr>
            <w:rStyle w:val="Hyperlink"/>
            <w:rFonts w:ascii="Arial" w:hAnsi="Arial"/>
            <w:snapToGrid w:val="0"/>
            <w:sz w:val="16"/>
            <w:szCs w:val="16"/>
          </w:rPr>
          <w:t>Immobilien</w:t>
        </w:r>
        <w:proofErr w:type="spellEnd"/>
        <w:proofErr w:type="gramEnd"/>
      </w:hyperlink>
      <w:r w:rsidR="00EB2E4B">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EB2E4B">
        <w:rPr>
          <w:rFonts w:ascii="Arial" w:hAnsi="Arial"/>
          <w:sz w:val="16"/>
          <w:szCs w:val="16"/>
        </w:rPr>
        <w:t xml:space="preserve">Grossmann &amp; Berger belongs to the HASPA Group and is a founding member of the national commercial real estate network </w:t>
      </w:r>
      <w:hyperlink r:id="rId13" w:history="1">
        <w:r w:rsidR="00EB2E4B">
          <w:rPr>
            <w:rStyle w:val="Hyperlink"/>
            <w:rFonts w:ascii="Arial" w:hAnsi="Arial"/>
            <w:sz w:val="16"/>
            <w:szCs w:val="16"/>
          </w:rPr>
          <w:t>German Property Partners</w:t>
        </w:r>
      </w:hyperlink>
      <w:bookmarkStart w:id="0" w:name="_GoBack"/>
      <w:bookmarkEnd w:id="0"/>
      <w:r w:rsidR="00EB2E4B">
        <w:rPr>
          <w:rFonts w:ascii="Arial" w:hAnsi="Arial"/>
          <w:sz w:val="16"/>
          <w:szCs w:val="16"/>
        </w:rPr>
        <w:t xml:space="preserve"> (GPP).</w:t>
      </w:r>
    </w:p>
    <w:p w14:paraId="2FE23F08" w14:textId="77777777" w:rsidR="00EB2E4B" w:rsidRPr="00521AA1" w:rsidRDefault="00EB2E4B" w:rsidP="00EB2E4B">
      <w:pPr>
        <w:spacing w:after="0" w:line="360" w:lineRule="auto"/>
        <w:rPr>
          <w:rFonts w:ascii="Arial" w:hAnsi="Arial" w:cs="Arial"/>
          <w:sz w:val="16"/>
          <w:szCs w:val="16"/>
        </w:rPr>
      </w:pPr>
    </w:p>
    <w:p w14:paraId="1598D97F" w14:textId="77777777" w:rsidR="00EB2E4B" w:rsidRDefault="00EB2E4B" w:rsidP="00EB2E4B">
      <w:pPr>
        <w:spacing w:after="0" w:line="360" w:lineRule="auto"/>
        <w:rPr>
          <w:rFonts w:ascii="Arial" w:hAnsi="Arial" w:cs="Arial"/>
          <w:sz w:val="16"/>
          <w:szCs w:val="16"/>
        </w:rPr>
      </w:pPr>
    </w:p>
    <w:p w14:paraId="1E85C204" w14:textId="346BEAEE" w:rsidR="00503D8C" w:rsidRPr="00EB2E4B" w:rsidRDefault="00EB2E4B" w:rsidP="00EB2E4B">
      <w:pPr>
        <w:spacing w:after="0" w:line="360" w:lineRule="auto"/>
        <w:rPr>
          <w:rFonts w:ascii="Arial" w:hAnsi="Arial" w:cs="Arial"/>
          <w:bCs/>
          <w:color w:val="000000" w:themeColor="text1"/>
          <w:sz w:val="20"/>
          <w:szCs w:val="20"/>
        </w:rPr>
      </w:pPr>
      <w:r>
        <w:rPr>
          <w:rFonts w:ascii="Arial" w:hAnsi="Arial"/>
          <w:sz w:val="16"/>
          <w:szCs w:val="16"/>
        </w:rPr>
        <w:lastRenderedPageBreak/>
        <w:t>Please consult our website for Grossmann &amp; Berger’s</w:t>
      </w:r>
      <w:r w:rsidR="004B71A3">
        <w:rPr>
          <w:rFonts w:ascii="Arial" w:hAnsi="Arial"/>
          <w:sz w:val="16"/>
          <w:szCs w:val="16"/>
        </w:rPr>
        <w:t xml:space="preserve"> </w:t>
      </w:r>
      <w:hyperlink r:id="rId14" w:history="1">
        <w:r w:rsidRPr="004B71A3">
          <w:rPr>
            <w:rStyle w:val="Hyperlink"/>
            <w:rFonts w:ascii="Arial" w:hAnsi="Arial"/>
            <w:sz w:val="16"/>
            <w:szCs w:val="16"/>
          </w:rPr>
          <w:t>data privacy policy</w:t>
        </w:r>
      </w:hyperlink>
      <w:r w:rsidR="004B71A3" w:rsidRPr="004B71A3">
        <w:rPr>
          <w:rStyle w:val="Hyperlink"/>
          <w:rFonts w:ascii="Arial" w:hAnsi="Arial"/>
          <w:sz w:val="16"/>
          <w:szCs w:val="16"/>
          <w:u w:val="none"/>
        </w:rPr>
        <w:t>.</w:t>
      </w:r>
      <w:r>
        <w:rPr>
          <w:rFonts w:ascii="Arial" w:hAnsi="Arial"/>
          <w:sz w:val="16"/>
          <w:szCs w:val="16"/>
        </w:rPr>
        <w:t xml:space="preserve"> Here you will also be able to access our </w:t>
      </w:r>
      <w:hyperlink r:id="rId15" w:history="1">
        <w:r w:rsidRPr="00AE06BE">
          <w:rPr>
            <w:rStyle w:val="Hyperlink"/>
            <w:rFonts w:ascii="Arial" w:hAnsi="Arial"/>
            <w:sz w:val="16"/>
            <w:szCs w:val="16"/>
          </w:rPr>
          <w:t>press kit</w:t>
        </w:r>
      </w:hyperlink>
      <w:r>
        <w:rPr>
          <w:rFonts w:ascii="Arial" w:hAnsi="Arial"/>
          <w:sz w:val="16"/>
          <w:szCs w:val="16"/>
        </w:rPr>
        <w:t xml:space="preserve"> and the associated </w:t>
      </w:r>
      <w:hyperlink r:id="rId16" w:history="1">
        <w:r w:rsidR="00AE06BE" w:rsidRPr="00AE06BE">
          <w:rPr>
            <w:rStyle w:val="Hyperlink"/>
            <w:rFonts w:ascii="Arial" w:hAnsi="Arial"/>
            <w:sz w:val="16"/>
            <w:szCs w:val="16"/>
          </w:rPr>
          <w:t>Terms of u</w:t>
        </w:r>
        <w:r w:rsidRPr="00AE06BE">
          <w:rPr>
            <w:rStyle w:val="Hyperlink"/>
            <w:rFonts w:ascii="Arial" w:hAnsi="Arial"/>
            <w:sz w:val="16"/>
            <w:szCs w:val="16"/>
          </w:rPr>
          <w:t>se</w:t>
        </w:r>
      </w:hyperlink>
      <w:r>
        <w:rPr>
          <w:rFonts w:ascii="Arial" w:hAnsi="Arial"/>
          <w:sz w:val="16"/>
          <w:szCs w:val="16"/>
        </w:rPr>
        <w:t xml:space="preserve">. If in future you would prefer not to receive any more information from our press </w:t>
      </w:r>
      <w:proofErr w:type="gramStart"/>
      <w:r>
        <w:rPr>
          <w:rFonts w:ascii="Arial" w:hAnsi="Arial"/>
          <w:sz w:val="16"/>
          <w:szCs w:val="16"/>
        </w:rPr>
        <w:t>office</w:t>
      </w:r>
      <w:proofErr w:type="gramEnd"/>
      <w:r>
        <w:rPr>
          <w:rFonts w:ascii="Arial" w:hAnsi="Arial"/>
          <w:sz w:val="16"/>
          <w:szCs w:val="16"/>
        </w:rPr>
        <w:t xml:space="preserv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EB2E4B"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626F1" w14:textId="77777777" w:rsidR="007238FF" w:rsidRDefault="007238FF">
      <w:r>
        <w:separator/>
      </w:r>
    </w:p>
  </w:endnote>
  <w:endnote w:type="continuationSeparator" w:id="0">
    <w:p w14:paraId="20EAE6F8" w14:textId="77777777" w:rsidR="007238FF" w:rsidRDefault="0072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964F" w14:textId="50599339"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76445">
      <w:rPr>
        <w:rFonts w:ascii="Arial" w:hAnsi="Arial"/>
        <w:b/>
        <w:bCs/>
        <w:color w:val="918F90"/>
        <w:sz w:val="18"/>
        <w:szCs w:val="18"/>
        <w:lang w:val="de-DE"/>
      </w:rPr>
      <w:t xml:space="preserve">Grossmann &amp; Berger GmbH </w:t>
    </w:r>
    <w:r w:rsidRPr="00D76445">
      <w:rPr>
        <w:rFonts w:ascii="Arial" w:hAnsi="Arial"/>
        <w:color w:val="918F90"/>
        <w:sz w:val="18"/>
        <w:szCs w:val="18"/>
        <w:lang w:val="de-DE"/>
      </w:rPr>
      <w:t xml:space="preserve">| </w:t>
    </w:r>
    <w:proofErr w:type="spellStart"/>
    <w:r w:rsidRPr="00D76445">
      <w:rPr>
        <w:rFonts w:ascii="Arial" w:hAnsi="Arial"/>
        <w:color w:val="918F90"/>
        <w:sz w:val="18"/>
        <w:szCs w:val="18"/>
        <w:lang w:val="de-DE"/>
      </w:rPr>
      <w:t>Bleichenbrücke</w:t>
    </w:r>
    <w:proofErr w:type="spellEnd"/>
    <w:r w:rsidRPr="00D76445">
      <w:rPr>
        <w:rFonts w:ascii="Arial" w:hAnsi="Arial"/>
        <w:color w:val="918F90"/>
        <w:sz w:val="18"/>
        <w:szCs w:val="18"/>
        <w:lang w:val="de-DE"/>
      </w:rPr>
      <w:t xml:space="preserve"> 9 | 20354 Hamburg | Tel. </w:t>
    </w:r>
    <w:r>
      <w:rPr>
        <w:rFonts w:ascii="Arial" w:hAnsi="Arial"/>
        <w:color w:val="918F90"/>
        <w:sz w:val="18"/>
        <w:szCs w:val="18"/>
      </w:rPr>
      <w:t>+49 (0)40 / 350 80 2-0 | www.grossmann-berger.de</w:t>
    </w:r>
  </w:p>
  <w:p w14:paraId="6B083F2C" w14:textId="05A56961"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310DAE">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310DAE">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8FA3" w14:textId="77777777" w:rsidR="008C608D" w:rsidRDefault="008C608D">
    <w:pPr>
      <w:pStyle w:val="Fuzeile"/>
    </w:pPr>
    <w:r>
      <w:rPr>
        <w:noProof/>
        <w:lang w:val="de-DE" w:eastAsia="de-DE"/>
      </w:rPr>
      <w:drawing>
        <wp:anchor distT="0" distB="0" distL="0" distR="0" simplePos="0" relativeHeight="251659264" behindDoc="0" locked="0" layoutInCell="0" allowOverlap="1" wp14:anchorId="1F47B225" wp14:editId="1C89EA7E">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6ADB" w14:textId="77777777" w:rsidR="007238FF" w:rsidRDefault="007238FF">
      <w:r>
        <w:separator/>
      </w:r>
    </w:p>
  </w:footnote>
  <w:footnote w:type="continuationSeparator" w:id="0">
    <w:p w14:paraId="749279FD" w14:textId="77777777" w:rsidR="007238FF" w:rsidRDefault="0072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9A0F"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73743D6D" wp14:editId="4D656D57">
              <wp:simplePos x="0" y="0"/>
              <wp:positionH relativeFrom="column">
                <wp:posOffset>-83516</wp:posOffset>
              </wp:positionH>
              <wp:positionV relativeFrom="paragraph">
                <wp:posOffset>22225</wp:posOffset>
              </wp:positionV>
              <wp:extent cx="45796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noFill/>
                      <a:ln w="9525">
                        <a:noFill/>
                        <a:miter lim="800000"/>
                        <a:headEnd/>
                        <a:tailEnd/>
                      </a:ln>
                    </wps:spPr>
                    <wps:txbx>
                      <w:txbxContent>
                        <w:p w14:paraId="71F5AE53" w14:textId="6F10C67C"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43D6D" id="_x0000_t202" coordsize="21600,21600" o:spt="202" path="m,l,21600r21600,l21600,xe">
              <v:stroke joinstyle="miter"/>
              <v:path gradientshapeok="t" o:connecttype="rect"/>
            </v:shapetype>
            <v:shape id="Textfeld 2" o:spid="_x0000_s1026" type="#_x0000_t202" style="position:absolute;left:0;text-align:left;margin-left:-6.6pt;margin-top:1.75pt;width:36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" filled="f" stroked="f">
              <v:textbox style="mso-fit-shape-to-text:t">
                <w:txbxContent>
                  <w:p w14:paraId="71F5AE53" w14:textId="6F10C67C"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2B6D33E7"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ACE5"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47208E6D" wp14:editId="4704D40C">
              <wp:simplePos x="0" y="0"/>
              <wp:positionH relativeFrom="column">
                <wp:posOffset>-80341</wp:posOffset>
              </wp:positionH>
              <wp:positionV relativeFrom="paragraph">
                <wp:posOffset>21590</wp:posOffset>
              </wp:positionV>
              <wp:extent cx="45799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65C9F499" w14:textId="1F8493AD"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08E6D" id="_x0000_t202" coordsize="21600,21600" o:spt="202" path="m,l,21600r21600,l21600,xe">
              <v:stroke joinstyle="miter"/>
              <v:path gradientshapeok="t" o:connecttype="rect"/>
            </v:shapetype>
            <v:shape id="_x0000_s1027" type="#_x0000_t202" style="position:absolute;left:0;text-align:left;margin-left:-6.35pt;margin-top:1.7pt;width:36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" filled="f" stroked="f">
              <v:textbox style="mso-fit-shape-to-text:t">
                <w:txbxContent>
                  <w:p w14:paraId="65C9F499" w14:textId="1F8493AD"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6FE6CB11"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528E8"/>
    <w:multiLevelType w:val="hybridMultilevel"/>
    <w:tmpl w:val="0D90CF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E00B82"/>
    <w:multiLevelType w:val="hybridMultilevel"/>
    <w:tmpl w:val="40A203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442410"/>
    <w:multiLevelType w:val="hybridMultilevel"/>
    <w:tmpl w:val="74541A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BD0102"/>
    <w:multiLevelType w:val="hybridMultilevel"/>
    <w:tmpl w:val="8CD67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6"/>
  </w:num>
  <w:num w:numId="16">
    <w:abstractNumId w:val="17"/>
  </w:num>
  <w:num w:numId="17">
    <w:abstractNumId w:val="1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3075C"/>
    <w:rsid w:val="0003457F"/>
    <w:rsid w:val="00041858"/>
    <w:rsid w:val="00045697"/>
    <w:rsid w:val="00051F61"/>
    <w:rsid w:val="00052659"/>
    <w:rsid w:val="000539E2"/>
    <w:rsid w:val="00060743"/>
    <w:rsid w:val="00066796"/>
    <w:rsid w:val="000766D7"/>
    <w:rsid w:val="000A1B7A"/>
    <w:rsid w:val="000A2529"/>
    <w:rsid w:val="000B3315"/>
    <w:rsid w:val="000C3226"/>
    <w:rsid w:val="000C770D"/>
    <w:rsid w:val="000D5E8E"/>
    <w:rsid w:val="000E03F3"/>
    <w:rsid w:val="000E3623"/>
    <w:rsid w:val="000F0E7C"/>
    <w:rsid w:val="000F509A"/>
    <w:rsid w:val="001029C4"/>
    <w:rsid w:val="0011080A"/>
    <w:rsid w:val="0011486D"/>
    <w:rsid w:val="00116BC8"/>
    <w:rsid w:val="00121E33"/>
    <w:rsid w:val="00123E01"/>
    <w:rsid w:val="00126550"/>
    <w:rsid w:val="00126EEF"/>
    <w:rsid w:val="001324D6"/>
    <w:rsid w:val="00135BD2"/>
    <w:rsid w:val="001429D0"/>
    <w:rsid w:val="00150454"/>
    <w:rsid w:val="001533C6"/>
    <w:rsid w:val="00154825"/>
    <w:rsid w:val="00155DAF"/>
    <w:rsid w:val="00165E83"/>
    <w:rsid w:val="0017516B"/>
    <w:rsid w:val="00176F1D"/>
    <w:rsid w:val="001801C0"/>
    <w:rsid w:val="00192B9D"/>
    <w:rsid w:val="00195B90"/>
    <w:rsid w:val="001A2ABE"/>
    <w:rsid w:val="001A360C"/>
    <w:rsid w:val="001C61D7"/>
    <w:rsid w:val="001D14DA"/>
    <w:rsid w:val="001E6995"/>
    <w:rsid w:val="001E7013"/>
    <w:rsid w:val="001F1513"/>
    <w:rsid w:val="001F43C6"/>
    <w:rsid w:val="00205769"/>
    <w:rsid w:val="00212FEC"/>
    <w:rsid w:val="002131BB"/>
    <w:rsid w:val="0022086D"/>
    <w:rsid w:val="00227E31"/>
    <w:rsid w:val="00230F81"/>
    <w:rsid w:val="00233D8F"/>
    <w:rsid w:val="00254C6F"/>
    <w:rsid w:val="0025679F"/>
    <w:rsid w:val="0027266B"/>
    <w:rsid w:val="0027363B"/>
    <w:rsid w:val="00274795"/>
    <w:rsid w:val="00276FB2"/>
    <w:rsid w:val="00281E80"/>
    <w:rsid w:val="002834B0"/>
    <w:rsid w:val="00283671"/>
    <w:rsid w:val="00284E27"/>
    <w:rsid w:val="00287506"/>
    <w:rsid w:val="002916A0"/>
    <w:rsid w:val="002A11B2"/>
    <w:rsid w:val="002A1973"/>
    <w:rsid w:val="002A6649"/>
    <w:rsid w:val="002B3C3A"/>
    <w:rsid w:val="002C2392"/>
    <w:rsid w:val="002D15AF"/>
    <w:rsid w:val="002D1C5C"/>
    <w:rsid w:val="002D1E20"/>
    <w:rsid w:val="002D584C"/>
    <w:rsid w:val="002E6860"/>
    <w:rsid w:val="002E7AC4"/>
    <w:rsid w:val="002F0411"/>
    <w:rsid w:val="00305C18"/>
    <w:rsid w:val="00307302"/>
    <w:rsid w:val="003100F1"/>
    <w:rsid w:val="00310DAE"/>
    <w:rsid w:val="003112F5"/>
    <w:rsid w:val="00322ACC"/>
    <w:rsid w:val="00325E2A"/>
    <w:rsid w:val="0034786C"/>
    <w:rsid w:val="003517C9"/>
    <w:rsid w:val="00353937"/>
    <w:rsid w:val="00370000"/>
    <w:rsid w:val="00373507"/>
    <w:rsid w:val="0038230E"/>
    <w:rsid w:val="00382529"/>
    <w:rsid w:val="003847B2"/>
    <w:rsid w:val="00387375"/>
    <w:rsid w:val="00394A86"/>
    <w:rsid w:val="003B24E3"/>
    <w:rsid w:val="003B4CCF"/>
    <w:rsid w:val="003C21E0"/>
    <w:rsid w:val="003C4FD8"/>
    <w:rsid w:val="003C6AB4"/>
    <w:rsid w:val="003D512D"/>
    <w:rsid w:val="003E0779"/>
    <w:rsid w:val="003E099F"/>
    <w:rsid w:val="003E41FB"/>
    <w:rsid w:val="003E4330"/>
    <w:rsid w:val="0040086D"/>
    <w:rsid w:val="004017D8"/>
    <w:rsid w:val="00411E03"/>
    <w:rsid w:val="004123B1"/>
    <w:rsid w:val="0041298D"/>
    <w:rsid w:val="004205FA"/>
    <w:rsid w:val="00423E06"/>
    <w:rsid w:val="00423E19"/>
    <w:rsid w:val="004303A1"/>
    <w:rsid w:val="00440DC9"/>
    <w:rsid w:val="004506D2"/>
    <w:rsid w:val="004526F6"/>
    <w:rsid w:val="00456F40"/>
    <w:rsid w:val="004609BD"/>
    <w:rsid w:val="004634D9"/>
    <w:rsid w:val="004661EE"/>
    <w:rsid w:val="00466741"/>
    <w:rsid w:val="00475BA6"/>
    <w:rsid w:val="00477A07"/>
    <w:rsid w:val="00486DD1"/>
    <w:rsid w:val="004904E8"/>
    <w:rsid w:val="004A2BEA"/>
    <w:rsid w:val="004A3C64"/>
    <w:rsid w:val="004A5AEA"/>
    <w:rsid w:val="004B0343"/>
    <w:rsid w:val="004B20F8"/>
    <w:rsid w:val="004B2FDA"/>
    <w:rsid w:val="004B480A"/>
    <w:rsid w:val="004B6696"/>
    <w:rsid w:val="004B71A3"/>
    <w:rsid w:val="004D390E"/>
    <w:rsid w:val="004D3D75"/>
    <w:rsid w:val="004E339B"/>
    <w:rsid w:val="004E4562"/>
    <w:rsid w:val="004F077F"/>
    <w:rsid w:val="004F097F"/>
    <w:rsid w:val="005023DD"/>
    <w:rsid w:val="00503D8C"/>
    <w:rsid w:val="0050790E"/>
    <w:rsid w:val="005111DD"/>
    <w:rsid w:val="00522B84"/>
    <w:rsid w:val="00526DD0"/>
    <w:rsid w:val="00531A7F"/>
    <w:rsid w:val="005428C5"/>
    <w:rsid w:val="00543C55"/>
    <w:rsid w:val="005554C7"/>
    <w:rsid w:val="0058279B"/>
    <w:rsid w:val="00582B99"/>
    <w:rsid w:val="00590903"/>
    <w:rsid w:val="005A040F"/>
    <w:rsid w:val="005B0FC9"/>
    <w:rsid w:val="005B4202"/>
    <w:rsid w:val="005B66D3"/>
    <w:rsid w:val="005C0A26"/>
    <w:rsid w:val="005C4556"/>
    <w:rsid w:val="005C5302"/>
    <w:rsid w:val="005E362E"/>
    <w:rsid w:val="005E4B48"/>
    <w:rsid w:val="005E4D11"/>
    <w:rsid w:val="00600E64"/>
    <w:rsid w:val="0061109D"/>
    <w:rsid w:val="00612AA0"/>
    <w:rsid w:val="006138CB"/>
    <w:rsid w:val="006224C4"/>
    <w:rsid w:val="006225EA"/>
    <w:rsid w:val="006261DF"/>
    <w:rsid w:val="0062679A"/>
    <w:rsid w:val="00642074"/>
    <w:rsid w:val="00642904"/>
    <w:rsid w:val="006563EB"/>
    <w:rsid w:val="00656B29"/>
    <w:rsid w:val="00660780"/>
    <w:rsid w:val="00667A1B"/>
    <w:rsid w:val="00683F13"/>
    <w:rsid w:val="0069521D"/>
    <w:rsid w:val="00695E58"/>
    <w:rsid w:val="00697AA1"/>
    <w:rsid w:val="006A03D5"/>
    <w:rsid w:val="006A1329"/>
    <w:rsid w:val="006A66F9"/>
    <w:rsid w:val="006C77F1"/>
    <w:rsid w:val="006E2677"/>
    <w:rsid w:val="006F2EE8"/>
    <w:rsid w:val="006F6158"/>
    <w:rsid w:val="00713A47"/>
    <w:rsid w:val="007208AB"/>
    <w:rsid w:val="00720DFF"/>
    <w:rsid w:val="007238FF"/>
    <w:rsid w:val="007466E0"/>
    <w:rsid w:val="00762CC5"/>
    <w:rsid w:val="00764025"/>
    <w:rsid w:val="00774464"/>
    <w:rsid w:val="007846B3"/>
    <w:rsid w:val="007906B4"/>
    <w:rsid w:val="007A0B30"/>
    <w:rsid w:val="007A3012"/>
    <w:rsid w:val="007A4A44"/>
    <w:rsid w:val="007A5FCF"/>
    <w:rsid w:val="007A7F58"/>
    <w:rsid w:val="007D1244"/>
    <w:rsid w:val="007D1AF6"/>
    <w:rsid w:val="007E759D"/>
    <w:rsid w:val="007F49FD"/>
    <w:rsid w:val="008115D5"/>
    <w:rsid w:val="00812471"/>
    <w:rsid w:val="008261A5"/>
    <w:rsid w:val="0083382E"/>
    <w:rsid w:val="00851DBD"/>
    <w:rsid w:val="00853339"/>
    <w:rsid w:val="00855325"/>
    <w:rsid w:val="00862E34"/>
    <w:rsid w:val="00865915"/>
    <w:rsid w:val="00866AE7"/>
    <w:rsid w:val="00871832"/>
    <w:rsid w:val="00886CCE"/>
    <w:rsid w:val="00890348"/>
    <w:rsid w:val="00895028"/>
    <w:rsid w:val="00896B33"/>
    <w:rsid w:val="008A00C5"/>
    <w:rsid w:val="008A62FB"/>
    <w:rsid w:val="008A6585"/>
    <w:rsid w:val="008A77B7"/>
    <w:rsid w:val="008B0F67"/>
    <w:rsid w:val="008C608D"/>
    <w:rsid w:val="008E1C5F"/>
    <w:rsid w:val="008E461D"/>
    <w:rsid w:val="008E6412"/>
    <w:rsid w:val="008F08E5"/>
    <w:rsid w:val="008F0EA4"/>
    <w:rsid w:val="008F423B"/>
    <w:rsid w:val="008F5213"/>
    <w:rsid w:val="0090748B"/>
    <w:rsid w:val="00920C9C"/>
    <w:rsid w:val="00922754"/>
    <w:rsid w:val="0092297D"/>
    <w:rsid w:val="00925781"/>
    <w:rsid w:val="009258D0"/>
    <w:rsid w:val="00935AB3"/>
    <w:rsid w:val="00957DE0"/>
    <w:rsid w:val="009734CE"/>
    <w:rsid w:val="009864F4"/>
    <w:rsid w:val="00996E1A"/>
    <w:rsid w:val="009A0E66"/>
    <w:rsid w:val="009A5DF4"/>
    <w:rsid w:val="009B3C8C"/>
    <w:rsid w:val="009D24DA"/>
    <w:rsid w:val="009D5D75"/>
    <w:rsid w:val="009E7674"/>
    <w:rsid w:val="009F32A2"/>
    <w:rsid w:val="009F54CE"/>
    <w:rsid w:val="00A04A9E"/>
    <w:rsid w:val="00A06264"/>
    <w:rsid w:val="00A07CA3"/>
    <w:rsid w:val="00A14078"/>
    <w:rsid w:val="00A14C92"/>
    <w:rsid w:val="00A1639A"/>
    <w:rsid w:val="00A16998"/>
    <w:rsid w:val="00A215C9"/>
    <w:rsid w:val="00A5264B"/>
    <w:rsid w:val="00A52CBD"/>
    <w:rsid w:val="00A5364B"/>
    <w:rsid w:val="00A615E0"/>
    <w:rsid w:val="00A61BBC"/>
    <w:rsid w:val="00A62338"/>
    <w:rsid w:val="00A65E2B"/>
    <w:rsid w:val="00A6674D"/>
    <w:rsid w:val="00A72D61"/>
    <w:rsid w:val="00A74AA0"/>
    <w:rsid w:val="00A7546D"/>
    <w:rsid w:val="00A77100"/>
    <w:rsid w:val="00A829BA"/>
    <w:rsid w:val="00AA4D97"/>
    <w:rsid w:val="00AC0717"/>
    <w:rsid w:val="00AD17B7"/>
    <w:rsid w:val="00AD1F61"/>
    <w:rsid w:val="00AD542C"/>
    <w:rsid w:val="00AE06BE"/>
    <w:rsid w:val="00B077D5"/>
    <w:rsid w:val="00B110AB"/>
    <w:rsid w:val="00B11C66"/>
    <w:rsid w:val="00B150EF"/>
    <w:rsid w:val="00B200E4"/>
    <w:rsid w:val="00B35B6D"/>
    <w:rsid w:val="00B35DC6"/>
    <w:rsid w:val="00B455AF"/>
    <w:rsid w:val="00B47901"/>
    <w:rsid w:val="00B51699"/>
    <w:rsid w:val="00B53FAF"/>
    <w:rsid w:val="00B543F9"/>
    <w:rsid w:val="00B559C4"/>
    <w:rsid w:val="00B63153"/>
    <w:rsid w:val="00B6527D"/>
    <w:rsid w:val="00B73550"/>
    <w:rsid w:val="00B73B3A"/>
    <w:rsid w:val="00B74507"/>
    <w:rsid w:val="00B75718"/>
    <w:rsid w:val="00B75E7E"/>
    <w:rsid w:val="00B81983"/>
    <w:rsid w:val="00B92005"/>
    <w:rsid w:val="00B93817"/>
    <w:rsid w:val="00B9622F"/>
    <w:rsid w:val="00BA0B96"/>
    <w:rsid w:val="00BB15DA"/>
    <w:rsid w:val="00BB340D"/>
    <w:rsid w:val="00BC2A3A"/>
    <w:rsid w:val="00BC64EC"/>
    <w:rsid w:val="00BD073D"/>
    <w:rsid w:val="00BE3639"/>
    <w:rsid w:val="00BF3AFD"/>
    <w:rsid w:val="00BF4F54"/>
    <w:rsid w:val="00C1086F"/>
    <w:rsid w:val="00C1606C"/>
    <w:rsid w:val="00C21CCF"/>
    <w:rsid w:val="00C23180"/>
    <w:rsid w:val="00C40809"/>
    <w:rsid w:val="00C41492"/>
    <w:rsid w:val="00C519D3"/>
    <w:rsid w:val="00C57585"/>
    <w:rsid w:val="00C702B5"/>
    <w:rsid w:val="00C70389"/>
    <w:rsid w:val="00C72EED"/>
    <w:rsid w:val="00C82B6C"/>
    <w:rsid w:val="00C8617F"/>
    <w:rsid w:val="00C904B6"/>
    <w:rsid w:val="00C96DF4"/>
    <w:rsid w:val="00CA25A2"/>
    <w:rsid w:val="00CC1337"/>
    <w:rsid w:val="00CC48DF"/>
    <w:rsid w:val="00CD0EFC"/>
    <w:rsid w:val="00CD4A02"/>
    <w:rsid w:val="00CD4CE5"/>
    <w:rsid w:val="00CD70E7"/>
    <w:rsid w:val="00CD7363"/>
    <w:rsid w:val="00CE0C1F"/>
    <w:rsid w:val="00CE455F"/>
    <w:rsid w:val="00CE687E"/>
    <w:rsid w:val="00CF0BF9"/>
    <w:rsid w:val="00CF0C9B"/>
    <w:rsid w:val="00CF2280"/>
    <w:rsid w:val="00CF5957"/>
    <w:rsid w:val="00D04BA2"/>
    <w:rsid w:val="00D077B0"/>
    <w:rsid w:val="00D21B3B"/>
    <w:rsid w:val="00D22D42"/>
    <w:rsid w:val="00D24B4C"/>
    <w:rsid w:val="00D36D8D"/>
    <w:rsid w:val="00D45711"/>
    <w:rsid w:val="00D500FC"/>
    <w:rsid w:val="00D5104F"/>
    <w:rsid w:val="00D51597"/>
    <w:rsid w:val="00D5326E"/>
    <w:rsid w:val="00D55867"/>
    <w:rsid w:val="00D634A3"/>
    <w:rsid w:val="00D71987"/>
    <w:rsid w:val="00D72339"/>
    <w:rsid w:val="00D73E47"/>
    <w:rsid w:val="00D74ABB"/>
    <w:rsid w:val="00D76445"/>
    <w:rsid w:val="00D83CB7"/>
    <w:rsid w:val="00D84CB5"/>
    <w:rsid w:val="00D84D46"/>
    <w:rsid w:val="00D94696"/>
    <w:rsid w:val="00D97FA8"/>
    <w:rsid w:val="00DA054B"/>
    <w:rsid w:val="00DA7F55"/>
    <w:rsid w:val="00DC7B25"/>
    <w:rsid w:val="00DD6B73"/>
    <w:rsid w:val="00E06E94"/>
    <w:rsid w:val="00E112C9"/>
    <w:rsid w:val="00E158F7"/>
    <w:rsid w:val="00E2087E"/>
    <w:rsid w:val="00E31133"/>
    <w:rsid w:val="00E36818"/>
    <w:rsid w:val="00E47B97"/>
    <w:rsid w:val="00E5203C"/>
    <w:rsid w:val="00E634CC"/>
    <w:rsid w:val="00E70681"/>
    <w:rsid w:val="00E82F0E"/>
    <w:rsid w:val="00E90DFD"/>
    <w:rsid w:val="00E96FAC"/>
    <w:rsid w:val="00EA129F"/>
    <w:rsid w:val="00EB2E4B"/>
    <w:rsid w:val="00ED0582"/>
    <w:rsid w:val="00EE075D"/>
    <w:rsid w:val="00EE31F6"/>
    <w:rsid w:val="00EE36DC"/>
    <w:rsid w:val="00EE5F5B"/>
    <w:rsid w:val="00EE67DC"/>
    <w:rsid w:val="00EE7304"/>
    <w:rsid w:val="00F044EE"/>
    <w:rsid w:val="00F13885"/>
    <w:rsid w:val="00F23BDE"/>
    <w:rsid w:val="00F26E7B"/>
    <w:rsid w:val="00F32759"/>
    <w:rsid w:val="00F3320B"/>
    <w:rsid w:val="00F40E92"/>
    <w:rsid w:val="00F41947"/>
    <w:rsid w:val="00F435AA"/>
    <w:rsid w:val="00F448CB"/>
    <w:rsid w:val="00F45730"/>
    <w:rsid w:val="00F55AD0"/>
    <w:rsid w:val="00F635B4"/>
    <w:rsid w:val="00F67DD8"/>
    <w:rsid w:val="00F750C9"/>
    <w:rsid w:val="00F76C6A"/>
    <w:rsid w:val="00F83BF1"/>
    <w:rsid w:val="00F90CB9"/>
    <w:rsid w:val="00F944DB"/>
    <w:rsid w:val="00F97373"/>
    <w:rsid w:val="00FA3D62"/>
    <w:rsid w:val="00FA6854"/>
    <w:rsid w:val="00FB064F"/>
    <w:rsid w:val="00FB144F"/>
    <w:rsid w:val="00FB159A"/>
    <w:rsid w:val="00FB4D77"/>
    <w:rsid w:val="00FC497D"/>
    <w:rsid w:val="00FD076B"/>
    <w:rsid w:val="00FF283F"/>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0BBF27"/>
  <w15:docId w15:val="{E849B330-42B3-4C1B-ADEA-ED7BC45F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15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F32759"/>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character" w:styleId="Kommentarzeichen">
    <w:name w:val="annotation reference"/>
    <w:basedOn w:val="Absatz-Standardschriftart"/>
    <w:uiPriority w:val="99"/>
    <w:semiHidden/>
    <w:unhideWhenUsed/>
    <w:rsid w:val="00B73550"/>
    <w:rPr>
      <w:sz w:val="16"/>
      <w:szCs w:val="16"/>
    </w:rPr>
  </w:style>
  <w:style w:type="paragraph" w:styleId="Kommentartext">
    <w:name w:val="annotation text"/>
    <w:basedOn w:val="Standard"/>
    <w:link w:val="KommentartextZchn"/>
    <w:uiPriority w:val="99"/>
    <w:unhideWhenUsed/>
    <w:rsid w:val="00B73550"/>
    <w:rPr>
      <w:sz w:val="20"/>
      <w:szCs w:val="20"/>
    </w:rPr>
  </w:style>
  <w:style w:type="character" w:customStyle="1" w:styleId="KommentartextZchn">
    <w:name w:val="Kommentartext Zchn"/>
    <w:basedOn w:val="Absatz-Standardschriftart"/>
    <w:link w:val="Kommentartext"/>
    <w:uiPriority w:val="99"/>
    <w:rsid w:val="00B73550"/>
    <w:rPr>
      <w:sz w:val="20"/>
      <w:szCs w:val="20"/>
      <w:lang w:eastAsia="en-US"/>
    </w:rPr>
  </w:style>
  <w:style w:type="paragraph" w:styleId="Kommentarthema">
    <w:name w:val="annotation subject"/>
    <w:basedOn w:val="Kommentartext"/>
    <w:next w:val="Kommentartext"/>
    <w:link w:val="KommentarthemaZchn"/>
    <w:uiPriority w:val="99"/>
    <w:semiHidden/>
    <w:unhideWhenUsed/>
    <w:rsid w:val="00B73550"/>
    <w:rPr>
      <w:b/>
      <w:bCs/>
    </w:rPr>
  </w:style>
  <w:style w:type="character" w:customStyle="1" w:styleId="KommentarthemaZchn">
    <w:name w:val="Kommentarthema Zchn"/>
    <w:basedOn w:val="KommentartextZchn"/>
    <w:link w:val="Kommentarthema"/>
    <w:uiPriority w:val="99"/>
    <w:semiHidden/>
    <w:rsid w:val="00B73550"/>
    <w:rPr>
      <w:b/>
      <w:bCs/>
      <w:sz w:val="20"/>
      <w:szCs w:val="20"/>
      <w:lang w:eastAsia="en-US"/>
    </w:rPr>
  </w:style>
  <w:style w:type="character" w:styleId="Hervorhebung">
    <w:name w:val="Emphasis"/>
    <w:basedOn w:val="Absatz-Standardschriftart"/>
    <w:uiPriority w:val="20"/>
    <w:qFormat/>
    <w:locked/>
    <w:rsid w:val="00B559C4"/>
    <w:rPr>
      <w:i/>
      <w:iCs/>
    </w:rPr>
  </w:style>
  <w:style w:type="paragraph" w:customStyle="1" w:styleId="GrafikBeschriftungNL">
    <w:name w:val="Grafik Beschriftung NL"/>
    <w:basedOn w:val="FliesstextNL"/>
    <w:uiPriority w:val="99"/>
    <w:rsid w:val="00E06E94"/>
    <w:pPr>
      <w:jc w:val="left"/>
    </w:pPr>
    <w:rPr>
      <w:spacing w:val="-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365639114">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en/company/press-portfolio/terms-of-use-for-press-mater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en/company/press-portfolio" TargetMode="External"/><Relationship Id="rId23" Type="http://schemas.openxmlformats.org/officeDocument/2006/relationships/theme" Target="theme/theme1.xml"/><Relationship Id="rId10" Type="http://schemas.openxmlformats.org/officeDocument/2006/relationships/hyperlink" Target="https://www.grossmann-berger.de/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en/well-informed/market-reports-and-price-trends" TargetMode="External"/><Relationship Id="rId14" Type="http://schemas.openxmlformats.org/officeDocument/2006/relationships/hyperlink" Target="https://www.grossmann-berger.de/en/privac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15D1-51D5-410B-B080-31B48C93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Katharina Koester</cp:lastModifiedBy>
  <cp:revision>6</cp:revision>
  <cp:lastPrinted>2022-10-06T07:51:00Z</cp:lastPrinted>
  <dcterms:created xsi:type="dcterms:W3CDTF">2022-10-13T14:16:00Z</dcterms:created>
  <dcterms:modified xsi:type="dcterms:W3CDTF">2022-10-13T14:20:00Z</dcterms:modified>
</cp:coreProperties>
</file>